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8.jpg" ContentType="image/jpeg"/>
  <Override PartName="/word/media/rId69.jpg" ContentType="image/jpeg"/>
  <Override PartName="/word/media/rId72.jpg" ContentType="image/jpeg"/>
  <Override PartName="/word/media/rId73.jpg" ContentType="image/jpeg"/>
  <Override PartName="/word/media/rId71.jpg" ContentType="image/jpeg"/>
  <Override PartName="/word/media/rId70.jpg" ContentType="image/jpeg"/>
  <Override PartName="/word/media/rId77.jpg" ContentType="image/jpeg"/>
  <Override PartName="/word/media/rId74.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w:t>
      </w:r>
      <w:r>
        <w:t xml:space="preserve"> </w:t>
      </w:r>
      <w:r>
        <w:t xml:space="preserve">dense</w:t>
      </w:r>
      <w:r>
        <w:t xml:space="preserve"> </w:t>
      </w:r>
      <w:r>
        <w:t xml:space="preserve">Piney</w:t>
      </w:r>
      <w:r>
        <w:t xml:space="preserve"> </w:t>
      </w:r>
      <w:r>
        <w:t xml:space="preserve">Point</w:t>
      </w:r>
      <w:r>
        <w:t xml:space="preserve"> </w:t>
      </w:r>
      <w:r>
        <w:t xml:space="preserve">wastewater</w:t>
      </w:r>
      <w:r>
        <w:t xml:space="preserve"> </w:t>
      </w:r>
      <w:r>
        <w:t xml:space="preserve">discharge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Emma</w:t>
      </w:r>
      <w:r>
        <w:t xml:space="preserve"> </w:t>
      </w:r>
      <w:r>
        <w:t xml:space="preserve">E.</w:t>
      </w:r>
      <w:r>
        <w:t xml:space="preserve"> </w:t>
      </w:r>
      <w:r>
        <w:t xml:space="preserve">Dontis</w:t>
      </w:r>
      <w:r>
        <w:t xml:space="preserve"> </w:t>
      </w:r>
      <w:r>
        <w:t xml:space="preserve">(</w:t>
      </w:r>
      <w:hyperlink r:id="rId26">
        <w:r>
          <w:rPr>
            <w:rStyle w:val="Hyperlink"/>
          </w:rPr>
          <w:t xml:space="preserve">edontis@co.pinellas.fl.us</w:t>
        </w:r>
      </w:hyperlink>
      <w:r>
        <w:t xml:space="preserve">),</w:t>
      </w:r>
      <w:r>
        <w:t xml:space="preserve"> </w:t>
      </w:r>
      <w:r>
        <w:t xml:space="preserve">Jayne</w:t>
      </w:r>
      <w:r>
        <w:t xml:space="preserve"> </w:t>
      </w:r>
      <w:r>
        <w:t xml:space="preserve">Gardiner</w:t>
      </w:r>
      <w:r>
        <w:t xml:space="preserve"> </w:t>
      </w:r>
      <w:r>
        <w:t xml:space="preserve">(</w:t>
      </w:r>
      <w:hyperlink r:id="rId27">
        <w:r>
          <w:rPr>
            <w:rStyle w:val="Hyperlink"/>
          </w:rPr>
          <w:t xml:space="preserve">jgardiner@ncf.edu</w:t>
        </w:r>
      </w:hyperlink>
      <w:r>
        <w:t xml:space="preserve">),</w:t>
      </w:r>
      <w:r>
        <w:t xml:space="preserve"> </w:t>
      </w:r>
      <w:r>
        <w:t xml:space="preserve">Jessica</w:t>
      </w:r>
      <w:r>
        <w:t xml:space="preserve"> </w:t>
      </w:r>
      <w:r>
        <w:t xml:space="preserve">Lewis</w:t>
      </w:r>
      <w:r>
        <w:t xml:space="preserve"> </w:t>
      </w:r>
      <w:r>
        <w:t xml:space="preserve">(</w:t>
      </w:r>
      <w:hyperlink r:id="rId28">
        <w:r>
          <w:rPr>
            <w:rStyle w:val="Hyperlink"/>
          </w:rPr>
          <w:t xml:space="preserve">jlewis@tbep.org</w:t>
        </w:r>
      </w:hyperlink>
      <w:r>
        <w:t xml:space="preserve">),</w:t>
      </w:r>
      <w:r>
        <w:t xml:space="preserve"> </w:t>
      </w:r>
      <w:r>
        <w:t xml:space="preserve">Yonggang</w:t>
      </w:r>
      <w:r>
        <w:t xml:space="preserve"> </w:t>
      </w:r>
      <w:r>
        <w:t xml:space="preserve">Liu</w:t>
      </w:r>
      <w:r>
        <w:t xml:space="preserve"> </w:t>
      </w:r>
      <w:r>
        <w:t xml:space="preserve">(</w:t>
      </w:r>
      <w:hyperlink r:id="rId29">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30">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1">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2">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3">
        <w:r>
          <w:rPr>
            <w:rStyle w:val="Hyperlink"/>
          </w:rPr>
          <w:t xml:space="preserve">phlips@ufl.edu</w:t>
        </w:r>
      </w:hyperlink>
      <w:r>
        <w:t xml:space="preserve">),</w:t>
      </w:r>
      <w:r>
        <w:t xml:space="preserve"> </w:t>
      </w:r>
      <w:r>
        <w:t xml:space="preserve">Mark</w:t>
      </w:r>
      <w:r>
        <w:t xml:space="preserve"> </w:t>
      </w:r>
      <w:r>
        <w:t xml:space="preserve">Rains</w:t>
      </w:r>
      <w:r>
        <w:t xml:space="preserve"> </w:t>
      </w:r>
      <w:r>
        <w:t xml:space="preserve">(</w:t>
      </w:r>
      <w:hyperlink r:id="rId34">
        <w:r>
          <w:rPr>
            <w:rStyle w:val="Hyperlink"/>
          </w:rPr>
          <w:t xml:space="preserve">Mark.Rains@floridadep.gov</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5">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6">
        <w:r>
          <w:rPr>
            <w:rStyle w:val="Hyperlink"/>
          </w:rPr>
          <w:t xml:space="preserve">sscolar@tbep.org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7">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8">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9">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40">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41">
        <w:r>
          <w:rPr>
            <w:rStyle w:val="Hyperlink"/>
          </w:rPr>
          <w:t xml:space="preserve">jwhalen@tbep.org</w:t>
        </w:r>
      </w:hyperlink>
      <w:r>
        <w:t xml:space="preserve">)</w:t>
      </w:r>
    </w:p>
    <w:p>
      <w:pPr>
        <w:pStyle w:val="FirstParagraph"/>
      </w:pPr>
      <w:r>
        <w:t xml:space="preserve">Last manuscript build 2021-10-25 09:13:41</w:t>
      </w:r>
    </w:p>
    <w:bookmarkStart w:id="42" w:name="abstract"/>
    <w:p>
      <w:pPr>
        <w:pStyle w:val="Heading1"/>
      </w:pPr>
      <w:r>
        <w:t xml:space="preserve">Abstract</w:t>
      </w:r>
    </w:p>
    <w:p>
      <w:pPr>
        <w:pStyle w:val="FirstParagraph"/>
      </w:pPr>
      <w:r>
        <w:t xml:space="preserve">From March 30th to April 9th, 2021, 215 million gallons of legacy phosphate mining wastewater from the Piney Point facility were released into Tampa Bay (Florida, USA). An estimated 205 tons of total nitrogen were exported to Lower Tampa Bay, exceeding typical annual external nitrogen load estimates in a matter of days. An immediate phytoplankton response (non-harmful diatom) was observed in samples closest to the discharge site, with chlorophyll concentrations exceeding 50 ug/L. Cyanobacteria blooms (</w:t>
      </w:r>
      <w:r>
        <w:rPr>
          <w:iCs/>
          <w:i/>
        </w:rPr>
        <w:t xml:space="preserve">Dapis</w:t>
      </w:r>
      <w:r>
        <w:t xml:space="preserve"> </w:t>
      </w:r>
      <w:r>
        <w:t xml:space="preserve">spp.) were observed beginning in May, with biomass peaking in June at 48% frequency occurrence for some locations. Blooms of</w:t>
      </w:r>
      <w:r>
        <w:t xml:space="preserve"> </w:t>
      </w:r>
      <w:r>
        <w:rPr>
          <w:iCs/>
          <w:i/>
        </w:rPr>
        <w:t xml:space="preserve">Karenia brevis</w:t>
      </w:r>
      <w:r>
        <w:t xml:space="preserve"> </w:t>
      </w:r>
      <w:r>
        <w:t xml:space="preserve">were first observed in May and continued through July within Tampa Bay proper. Reported fish kills tracked bloom concentrations, prompting local cleanup efforts to remove over 1800 tons of dead fish. Combined, these observations indicate abnormal conditions in Tampa Bay following release of wastewater from Piney Point, which is supported by comparison to the decades of baseline environmental monitoring data for the region and typical seasonal conditions experienced in recent years.</w:t>
      </w:r>
    </w:p>
    <w:p>
      <w:pPr>
        <w:pStyle w:val="BodyText"/>
      </w:pPr>
      <w:r>
        <w:rPr>
          <w:iCs/>
          <w:i/>
        </w:rPr>
        <w:t xml:space="preserve">Key words</w:t>
      </w:r>
      <w:r>
        <w:t xml:space="preserve">: algae, nitrogen, phosphate mining, seagrass, Tampa Bay, wastewater, water quality</w:t>
      </w:r>
    </w:p>
    <w:bookmarkEnd w:id="42"/>
    <w:bookmarkStart w:id="45" w:name="introduction"/>
    <w:p>
      <w:pPr>
        <w:pStyle w:val="Heading1"/>
      </w:pPr>
      <w:r>
        <w:t xml:space="preserve">Introduction</w:t>
      </w:r>
    </w:p>
    <w:p>
      <w:pPr>
        <w:pStyle w:val="FirstParagraph"/>
      </w:pPr>
      <w:r>
        <w:t xml:space="preserve">Ecosystem management paradigms for estuaries of the Gulf Coast of Florida, USA are based primarily on the control of nutrient pollutants from atmospheric, stormwater and wastewater sources. The effects of nitrogen from dominant external source inputs are well understood as a limiting nutrient for the growth of algal blooms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a primary endpoint for assessing the impacts of nutrient pollution on water quality based on established relationships between nitrogen, phytoplankton growth, water clarity, and light requirements for seagrass species observed in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w:t>
      </w:r>
    </w:p>
    <w:p>
      <w:pPr>
        <w:pStyle w:val="BodyText"/>
      </w:pPr>
      <w:r>
        <w:t xml:space="preserve">Ongoing threats and challenges to protecting water quality of Gulf Coast estuaries persist despite recent environmental recovery. Because point-source inputs of nutrient loads from wastewater treatment plants and industrial sources into Tampa Bay have been greatly reduced, non-point source loads from wastewater sources and stormwater runoff are now estimated to dominate external nutrient loads to the bay, particularly during the rainy season from June to September</w:t>
      </w:r>
      <w:r>
        <w:t xml:space="preserve"> </w:t>
      </w:r>
      <w:r>
        <w:t xml:space="preserve">(</w:t>
      </w:r>
      <w:hyperlink w:anchor="ref-Janicki17">
        <w:r>
          <w:rPr>
            <w:rStyle w:val="Hyperlink"/>
          </w:rPr>
          <w:t xml:space="preserve">Janicki Environmental, Inc., 2017a</w:t>
        </w:r>
      </w:hyperlink>
      <w:r>
        <w:t xml:space="preserve">,</w:t>
      </w:r>
      <w:r>
        <w:t xml:space="preserve"> </w:t>
      </w:r>
      <w:hyperlink w:anchor="ref-Janicki08">
        <w:r>
          <w:rPr>
            <w:rStyle w:val="Hyperlink"/>
          </w:rPr>
          <w:t xml:space="preserve">2008</w:t>
        </w:r>
      </w:hyperlink>
      <w:r>
        <w:t xml:space="preserve">)</w:t>
      </w:r>
      <w:r>
        <w:t xml:space="preserve">. Atmospheric deposition of nutrients from fossil fuel-based power production and automobile traffic further contribute about one-quarter of the total nitrogen inputs directly to the bay’s surface</w:t>
      </w:r>
      <w:r>
        <w:t xml:space="preserve"> </w:t>
      </w:r>
      <w:r>
        <w:t xml:space="preserve">(</w:t>
      </w:r>
      <w:hyperlink w:anchor="ref-Poor13">
        <w:r>
          <w:rPr>
            <w:rStyle w:val="Hyperlink"/>
          </w:rPr>
          <w:t xml:space="preserve">Poor et al., 2013</w:t>
        </w:r>
      </w:hyperlink>
      <w:r>
        <w:t xml:space="preserve">)</w:t>
      </w:r>
      <w:r>
        <w:t xml:space="preserve">. Climate change stressors, such as sea level rise, changing rainfall patterns, and temperature alterations, may further perturb ecosystem dynamics and assimilative capacity by reducing system resilience to nutrient inputs</w:t>
      </w:r>
      <w:r>
        <w:t xml:space="preserve"> </w:t>
      </w:r>
      <w:r>
        <w:t xml:space="preserve">(</w:t>
      </w:r>
      <w:hyperlink w:anchor="ref-Burke17">
        <w:r>
          <w:rPr>
            <w:rStyle w:val="Hyperlink"/>
          </w:rPr>
          <w:t xml:space="preserve">Burke, 2017</w:t>
        </w:r>
      </w:hyperlink>
      <w:r>
        <w:t xml:space="preserve">;</w:t>
      </w:r>
      <w:r>
        <w:t xml:space="preserve"> </w:t>
      </w:r>
      <w:hyperlink w:anchor="ref-Sherwood14">
        <w:r>
          <w:rPr>
            <w:rStyle w:val="Hyperlink"/>
          </w:rPr>
          <w:t xml:space="preserve">Sherwood and Greening, 2014</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waste precipitate, or phosphogypsum (CaSO</w:t>
      </w:r>
      <m:oMath>
        <m:sSub>
          <m:e>
            <m:r>
              <m:t>​</m:t>
            </m:r>
          </m:e>
          <m:sub>
            <m:r>
              <m:t>4</m:t>
            </m:r>
          </m:sub>
        </m:sSub>
        <m:r>
          <m:rPr>
            <m:sty m:val="p"/>
          </m:rPr>
          <m:t>⋅</m:t>
        </m:r>
      </m:oMath>
      <w:r>
        <w:t xml:space="preserve"> </w:t>
      </w:r>
      <w:r>
        <w:t xml:space="preserve">H</w:t>
      </w:r>
      <m:oMath>
        <m:sSub>
          <m:e>
            <m:r>
              <m:t>​</m:t>
            </m:r>
          </m:e>
          <m:sub>
            <m:r>
              <m:t>2</m:t>
            </m:r>
          </m:sub>
        </m:sSub>
      </m:oMath>
      <w:r>
        <w:t xml:space="preserve">O). Impurities, contaminants, and radionuclides exist in phosphogypsum, making it commercially invaluable and the resulting waste is typically stored on-site in large earthen stacks (gypstacks) or holding ponds</w:t>
      </w:r>
      <w:r>
        <w:t xml:space="preserve"> </w:t>
      </w:r>
      <w:r>
        <w:t xml:space="preserve">(</w:t>
      </w:r>
      <w:hyperlink w:anchor="ref-Burnett01">
        <w:r>
          <w:rPr>
            <w:rStyle w:val="Hyperlink"/>
          </w:rPr>
          <w:t xml:space="preserve">Burnett and Elzerman, 2001</w:t>
        </w:r>
      </w:hyperlink>
      <w:r>
        <w:t xml:space="preserve">)</w:t>
      </w:r>
      <w:r>
        <w:t xml:space="preserve">. The stacks are usually near distribution centers where fertilizer is shipped elsewhere, such as port facilities close to coastal resources or population centers</w:t>
      </w:r>
      <w:r>
        <w:t xml:space="preserve"> </w:t>
      </w:r>
      <w:r>
        <w:t xml:space="preserve">(</w:t>
      </w:r>
      <w:hyperlink w:anchor="ref-Beck18b">
        <w:r>
          <w:rPr>
            <w:rStyle w:val="Hyperlink"/>
          </w:rPr>
          <w:t xml:space="preserve">Beck et al., 2018a</w:t>
        </w:r>
      </w:hyperlink>
      <w:r>
        <w:t xml:space="preserve">)</w:t>
      </w:r>
      <w:r>
        <w:t xml:space="preserve">. There are obvious environmental and human health risks associated with these stacks, primarily through controlled or uncontrolled discharge to surface waters or groundwater contamination through leaching from unlined or poorly maintained stacks. Examples exist worldwide demonstrating the potential harm of these facilities on the environment</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used in food production</w:t>
      </w:r>
      <w:r>
        <w:t xml:space="preserve"> </w:t>
      </w:r>
      <w:r>
        <w:t xml:space="preserve">(</w:t>
      </w:r>
      <w:hyperlink w:anchor="ref-Henderson04">
        <w:r>
          <w:rPr>
            <w:rStyle w:val="Hyperlink"/>
          </w:rPr>
          <w:t xml:space="preserve">Henderson, 2004</w:t>
        </w:r>
      </w:hyperlink>
      <w:r>
        <w:t xml:space="preserve">)</w:t>
      </w:r>
      <w:r>
        <w:t xml:space="preserve">. By 2001, an estimated 40 million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(two active, five inactive, ten closed,</w:t>
      </w:r>
      <w:r>
        <w:t xml:space="preserve"> </w:t>
      </w:r>
      <w:hyperlink r:id="rId43">
        <w:r>
          <w:rPr>
            <w:rStyle w:val="Hyperlink"/>
          </w:rPr>
          <w:t xml:space="preserve">Florida Department of Environmental Protection</w:t>
        </w:r>
      </w:hyperlink>
      <w:r>
        <w:t xml:space="preserve">) exist in the Tampa Bay watershed with no comprehensive, long-term plan for closure or disposal of waste. The Piney Point facility located in Palmetto, Florida is a large, remnant phosphogypsum stack with three holding ponds located less than two miles from the shore of Tampa Bay and near two Florida Aquatic Preserves</w:t>
      </w:r>
      <w:r>
        <w:t xml:space="preserve"> </w:t>
      </w:r>
      <w:r>
        <w:t xml:space="preserve">(</w:t>
      </w:r>
      <w:hyperlink w:anchor="ref-Henderson04">
        <w:r>
          <w:rPr>
            <w:rStyle w:val="Hyperlink"/>
          </w:rPr>
          <w:t xml:space="preserve">Henderson, 2004</w:t>
        </w:r>
      </w:hyperlink>
      <w:r>
        <w:t xml:space="preserve">)</w:t>
      </w:r>
      <w:r>
        <w:t xml:space="preserve">. Bankruptcy of the mining company responsible for the stack in 1999 transferred ownership to a third-party, HRK Holdings, LLC (hereafter HRK), with oversight by the Florida Departmental of Environmental Protection (FDEP). Decreasing holding capacity of the ponds from seasonal rain events, tropical storms, and storage of dredging material from nearby Port Manatee have contributed to degradation of the facility. Discharges of wastewater from the stacks occurred in the early 2000s and 2011 to nearby Bishop Harbor connected to Tampa Bay. Those discharges resulted in spatially-restricted, ecosystem responses</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HRK suspected leakages from a tear in the plastic liner of the southern holding pond (NGS-S) when water quality samples with a similar conductivity as the wastewater were detected at onsite seepage interceptor drains. In response, FDEP authorized an</w:t>
      </w:r>
      <w:r>
        <w:t xml:space="preserve"> </w:t>
      </w:r>
      <w:hyperlink r:id="rId44">
        <w:r>
          <w:rPr>
            <w:rStyle w:val="Hyperlink"/>
          </w:rPr>
          <w:t xml:space="preserve">emergency order</w:t>
        </w:r>
      </w:hyperlink>
      <w:r>
        <w:t xml:space="preserve"> </w:t>
      </w:r>
      <w:r>
        <w:t xml:space="preserve">on March 30th, 2021 to release wastewater from the southern gypstack directly into lower Tampa Bay to prevent catastrophic failure of the berms supporting the holding ponds. At that time, approximately 480 million gallons of mix legacy phosphate mining wastewater and seawater from port dedging operations was being held in the failing gypstack. Water quality parameters of NGS-S measured in 2019 were well above baseline conditions typical of surface waters in Tampa Bay (Table</w:t>
      </w:r>
      <w:r>
        <w:t xml:space="preserve"> </w:t>
      </w:r>
      <w:r>
        <w:t xml:space="preserve">1</w:t>
      </w:r>
      <w:r>
        <w:t xml:space="preserve">), particularly for total phosphorus (160 mg/L) and total nitrogen (230 mg/L). Due to public safety and property concerns over catastrophic failure of the holding walls, an</w:t>
      </w:r>
      <w:r>
        <w:t xml:space="preserve"> </w:t>
      </w:r>
      <w:hyperlink r:id="rId44">
        <w:r>
          <w:rPr>
            <w:rStyle w:val="Hyperlink"/>
          </w:rPr>
          <w:t xml:space="preserve">emergency order</w:t>
        </w:r>
      </w:hyperlink>
      <w:r>
        <w:t xml:space="preserve"> </w:t>
      </w:r>
      <w:r>
        <w:t xml:space="preserve">was issued by FDEP on March 29th for HRK to begin release of wastewater from the stack into Tampa Bay to reduce physical strain on the stacks. Unlike past discharges from the site, HRK was authorized to release untreated wastewater through siphon lines established during dredging operations in 2011 and that discharged through Berth 12 at Port Manatee. This was done under the assumption that backwater habitats (e.g., Bishop Harbor) may be spared the impacts of additional effluent discharges from the site, as was observed in prior events. From March 30th to April 9th, approximately 215 million gallons of wastewater were released to lower Tampa Bay. Over this ten day period, an estimated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2017b</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in April, 2021. The goal is to describe the results of monitoring data of surface waters collected in response to the discharge event to assess relative deviation of current conditions from long-term, seasonal records of water quality, phytoplankton, and seagrass/macroalgae datasets available for the region. A timeline of events in 2021 is provided, which is supported by the quantitative results from 2021 response-based monitoring of conditions in and around Port Manatee, FL – the focal point of emergency discharges from the Piney Point facility. We focus primarily on the perspective of the Tampa Bay Estuary Program in its role in coordinating monitoring and evaluating short-term impacts, particularly in the context of seagrass resources and long-term management goals that leverage existing partnerships among local resource management institutions.</w:t>
      </w:r>
    </w:p>
    <w:bookmarkEnd w:id="45"/>
    <w:bookmarkStart w:id="54" w:name="methods"/>
    <w:p>
      <w:pPr>
        <w:pStyle w:val="Heading1"/>
      </w:pPr>
      <w:r>
        <w:t xml:space="preserve">Methods</w:t>
      </w:r>
    </w:p>
    <w:bookmarkStart w:id="51" w:name="X0e822a22cb914ac65e3e00d4b9bef46c0574e5f"/>
    <w:p>
      <w:pPr>
        <w:pStyle w:val="Heading2"/>
      </w:pPr>
      <w:r>
        <w:t xml:space="preserve">Monitoring response to the emergency discharge</w:t>
      </w:r>
    </w:p>
    <w:p>
      <w:pPr>
        <w:pStyle w:val="FirstParagraph"/>
      </w:pPr>
      <w:r>
        <w:t xml:space="preserve">Monitoring of the natural resources of Tampa Bay in response to the wastewater release at Piney Point began in April, 2021 and continued over the following months. These data were collected through a coordinated effort under the guidance of an effluent plume simulation by a numerical circulation model run by the University of South Florida (USF) Ocean Circulation Lab, facilitated in part by the FDEP and TBEP. Monitoring agencies and local partners that collected data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(laboratory processing of discrete samples and</w:t>
      </w:r>
      <w:r>
        <w:t xml:space="preserve"> </w:t>
      </w:r>
      <w:r>
        <w:rPr>
          <w:iCs/>
          <w:i/>
        </w:rPr>
        <w:t xml:space="preserve">in situ</w:t>
      </w:r>
      <w:r>
        <w:t xml:space="preserve"> </w:t>
      </w:r>
      <w:r>
        <w:t xml:space="preserve">measurements), phytoplankton cell counts, and seagrass and macroalgae transect surveys (Figure</w:t>
      </w:r>
      <w:r>
        <w:t xml:space="preserve"> </w:t>
      </w:r>
      <w:r>
        <w:t xml:space="preserve">1</w:t>
      </w:r>
      <w:r>
        <w:t xml:space="preserve">). Additional sampling for contaminants (e.g., heavy metals), invertebrates, and nekton was also conducted, but they are not reported here in anticipation of future monitoring events.</w:t>
      </w:r>
    </w:p>
    <w:p>
      <w:pPr>
        <w:pStyle w:val="BodyText"/>
      </w:pPr>
      <w:r>
        <w:t xml:space="preserve">In an immediate response to the wastewater discharge, the Ocean Circulation Lab at the University of South Florida, College of Marine Science simulated the Piney Point effluent evolution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discharge rates. Normalized tracer distributions were automatically updated each day, providing 1-day hindcasts and 3.5-day forecasts throughout the period of effluent release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Established laboratory and field sample protocols for all survey methods were based on an</w:t>
      </w:r>
      <w:r>
        <w:t xml:space="preserve"> </w:t>
      </w:r>
      <w:hyperlink r:id="rId46">
        <w:r>
          <w:rPr>
            <w:rStyle w:val="Hyperlink"/>
          </w:rPr>
          <w:t xml:space="preserve">Interagency Monitoring Project Plan</w:t>
        </w:r>
      </w:hyperlink>
      <w:r>
        <w:t xml:space="preserve"> </w:t>
      </w:r>
      <w:r>
        <w:t xml:space="preserve">maintained by the TBEP in agreement with USEPA standards and those of the inter-agency partners. To the extent possible, data quality objectives followed guidelines outlined in the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7">
        <w:r>
          <w:rPr>
            <w:rStyle w:val="Hyperlink"/>
          </w:rPr>
          <w:t xml:space="preserve">Regional Ambient Monitoring Program</w:t>
        </w:r>
      </w:hyperlink>
      <w:r>
        <w:t xml:space="preserve"> </w:t>
      </w:r>
      <w:r>
        <w:t xml:space="preserve">that ensures similar standards and protocols are followed in the collection of monitoring data, including routine cross-reference of samples between laboratories to check precision of measured values. Discrete water quality samples were taken primarily from surface grabs by boat and processed by the respective laboratories of each participating agency. For this paper, we focus on parameters related to the Tampa Bay nutrient management paradigm and the expected phytoplankton response from a dense, inorganic nitrogen plume entering the bay. This included evaluation of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and chlorophyll-a (ug/L) concentrations. Samples for pH, salinity (psu), temperature (^o C), and dissolved oxygen saturation (%) were also evaluated given the role these parameters can have as indicators of wastewater contamination (pH), physical drivers of primary production (salinity, temperature), and indicators of primary production and respiration (dissolved oxygen, mg/L). Overall, sample effort was variable given agency resources at the time of the discharge event and over the next few months. As appropriate, water quality data were aggregated at the weekly scale and by major areas of interest (Figure</w:t>
      </w:r>
      <w:r>
        <w:t xml:space="preserve"> </w:t>
      </w:r>
      <w:r>
        <w:t xml:space="preserve">1</w:t>
      </w:r>
      <w:r>
        <w:t xml:space="preserve">a) given the hypothesized impacts adjacent to the discharge site as indicated by the TBCOM tracer model simulated plume patterns. These areas of interest were delineated based on proximity to Piney Point, the main shipping channel in the bay, inflow boundaries (e.g., Little Manatee River), location of the Skyway Bridge at the mouth of Tampa Bay, and major segments of Tampa Bay used by TBEP for assessing programmatic goals.</w:t>
      </w:r>
    </w:p>
    <w:p>
      <w:pPr>
        <w:pStyle w:val="BodyText"/>
      </w:pPr>
      <w:r>
        <w:t xml:space="preserve">Phytoplankton samples were also collected by multiple partners and included a mix of quantitative samples enumerating major taxa by cell concentrations and qualitative presence/absence samples. Taxa were aggregated into major groups of interest for Tampa Bay, with a focus on diatoms (Bacillariophyta and other centric taxa), as common primary producers observed throughout the growing season, and species associated with harmful algal blooms (HABs), as a potentially adverse outcome of these species outcompeting others in response to nutrient inputs from Piney Point. Evaluation of HABs data included specific focus on the red tide organism</w:t>
      </w:r>
      <w:r>
        <w:t xml:space="preserve"> </w:t>
      </w:r>
      <w:r>
        <w:rPr>
          <w:iCs/>
          <w:i/>
        </w:rPr>
        <w:t xml:space="preserve">Karenia brevis</w:t>
      </w:r>
      <w:r>
        <w:t xml:space="preserve"> </w:t>
      </w:r>
      <w:r>
        <w:t xml:space="preserve">that can occur in the bay depending on salinity and temperature conditions during the growing season.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Data for</w:t>
      </w:r>
      <w:r>
        <w:t xml:space="preserve"> </w:t>
      </w:r>
      <w:r>
        <w:rPr>
          <w:iCs/>
          <w:i/>
        </w:rPr>
        <w:t xml:space="preserve">K. brevis</w:t>
      </w:r>
      <w:r>
        <w:t xml:space="preserve"> </w:t>
      </w:r>
      <w:r>
        <w:t xml:space="preserve">were also obtained from event-based monitoring samples collected by FWC and available from a joint FWC-USF short-term red tide tracking product (</w:t>
      </w:r>
      <w:hyperlink r:id="rId48">
        <w:r>
          <w:rPr>
            <w:rStyle w:val="Hyperlink"/>
          </w:rPr>
          <w:t xml:space="preserve">http://ocgweb.marine.usf.edu/hab_tracking/wfcom_hab.html</w:t>
        </w:r>
      </w:hyperlink>
      <w:r>
        <w:t xml:space="preserve">) and from the Harmful Algal BloomS Observing System (</w:t>
      </w:r>
      <w:hyperlink r:id="rId49">
        <w:r>
          <w:rPr>
            <w:rStyle w:val="Hyperlink"/>
          </w:rPr>
          <w:t xml:space="preserve">HABSOS</w:t>
        </w:r>
      </w:hyperlink>
      <w:r>
        <w:t xml:space="preserve">). Because of the increased occurrence of red tide in July following the emergency discharge, fish kill reports from FWC were also evaluated in relation to key municipalities (Tampa, St. Petersberg) impacted by the event. Fish kill reports were obtained from the FWC</w:t>
      </w:r>
      <w:r>
        <w:t xml:space="preserve"> </w:t>
      </w:r>
      <w:hyperlink r:id="rId50">
        <w:r>
          <w:rPr>
            <w:rStyle w:val="Hyperlink"/>
          </w:rPr>
          <w:t xml:space="preserve">online database</w:t>
        </w:r>
      </w:hyperlink>
      <w:r>
        <w:t xml:space="preserve">.</w:t>
      </w:r>
    </w:p>
    <w:p>
      <w:pPr>
        <w:pStyle w:val="BodyText"/>
      </w:pPr>
      <w:r>
        <w:t xml:space="preserve">Seagrass and macroalgae transect samples were collected approximately biweekly at locations around Piney Point from April to early October 2021. Each year, the TBEP coordinates inter-agency sampling among regional partners at over sixty fixed locations throughout the bay</w:t>
      </w:r>
      <w:r>
        <w:t xml:space="preserve"> </w:t>
      </w:r>
      <w:r>
        <w:t xml:space="preserve">(</w:t>
      </w:r>
      <w:hyperlink w:anchor="ref-Sherwood17">
        <w:r>
          <w:rPr>
            <w:rStyle w:val="Hyperlink"/>
          </w:rPr>
          <w:t xml:space="preserve">Sherwood et al., 2017</w:t>
        </w:r>
      </w:hyperlink>
      <w:r>
        <w:t xml:space="preserve">)</w:t>
      </w:r>
      <w:r>
        <w:t xml:space="preserve">. Because of the time-sensitive nature of the potential impacts of wastewater on seagrasses near Piney Point, the sampling protocol used at the routine monitoring locations was modified as a</w:t>
      </w:r>
      <w:r>
        <w:t xml:space="preserve"> </w:t>
      </w:r>
      <w:r>
        <w:t xml:space="preserve">“</w:t>
      </w:r>
      <w:r>
        <w:t xml:space="preserve">rapid survey</w:t>
      </w:r>
      <w:r>
        <w:t xml:space="preserve">”</w:t>
      </w:r>
      <w:r>
        <w:t xml:space="preserve"> </w:t>
      </w:r>
      <w:r>
        <w:t xml:space="preserve">design to sample seagrasses and macroalgae along fifty meter transects at several of the long-term monitoring sites, as well as new locations selected along the shore and small subembayments (e.g., Bishop Harbor) to provide a more comprehensive coverage of the seagrass community near Piney Point. Seagrasses and macroalgae were identified and abundances were estimated using Braun-Blanquet cover-abundance estimates within a 0.25 m</w:t>
      </w:r>
      <m:oMath>
        <m:sSup>
          <m:e>
            <m:r>
              <m:t>​</m:t>
            </m:r>
          </m:e>
          <m:sup>
            <m:r>
              <m:t>2</m:t>
            </m:r>
          </m:sup>
        </m:sSup>
      </m:oMath>
      <w:r>
        <w:t xml:space="preserve"> </w:t>
      </w:r>
      <w:r>
        <w:t xml:space="preserve">quadrat at 10m distances along each transect. Dominant seagrass species in the bay include</w:t>
      </w:r>
      <w:r>
        <w:t xml:space="preserve"> </w:t>
      </w:r>
      <w:r>
        <w:rPr>
          <w:iCs/>
          <w:i/>
        </w:rPr>
        <w:t xml:space="preserve">Halodule wrightii</w:t>
      </w:r>
      <w:r>
        <w:t xml:space="preserve">,</w:t>
      </w:r>
      <w:r>
        <w:t xml:space="preserve"> </w:t>
      </w:r>
      <w:r>
        <w:rPr>
          <w:iCs/>
          <w:i/>
        </w:rPr>
        <w:t xml:space="preserve">Syringodium filiforme</w:t>
      </w:r>
      <w:r>
        <w:t xml:space="preserve">, and</w:t>
      </w:r>
      <w:r>
        <w:t xml:space="preserve"> </w:t>
      </w:r>
      <w:r>
        <w:rPr>
          <w:iCs/>
          <w:i/>
        </w:rPr>
        <w:t xml:space="preserve">Thalassia testudinum</w:t>
      </w:r>
      <w:r>
        <w:t xml:space="preserve">. Other seagrass species (i.e.,</w:t>
      </w:r>
      <w:r>
        <w:t xml:space="preserve"> </w:t>
      </w:r>
      <w:r>
        <w:rPr>
          <w:iCs/>
          <w:i/>
        </w:rPr>
        <w:t xml:space="preserve">Halophila spp.</w:t>
      </w:r>
      <w:r>
        <w:t xml:space="preserve">,</w:t>
      </w:r>
      <w:r>
        <w:t xml:space="preserve"> </w:t>
      </w:r>
      <w:r>
        <w:rPr>
          <w:iCs/>
          <w:i/>
        </w:rPr>
        <w:t xml:space="preserve">Ruppia maritima</w:t>
      </w:r>
      <w:r>
        <w:t xml:space="preserve">) were also observed but were present at much lower abundances and were not evaluated herein. Macroalgae taxa were aggregated by major group (i.e., red, green, and cyanobacteria) based on expected responses to nutrient pollution. Seagrasses and macroalgae abundances were converted to frequency of occurrence estimates (i.e., number of locations present divided by total locations sampled) at the transect scale or within major areas (Figure</w:t>
      </w:r>
      <w:r>
        <w:t xml:space="preserve"> </w:t>
      </w:r>
      <w:r>
        <w:t xml:space="preserve">1</w:t>
      </w:r>
      <w:r>
        <w:t xml:space="preserve">a) depending on the analysis described below.</w:t>
      </w:r>
    </w:p>
    <w:bookmarkEnd w:id="51"/>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2">
        <w:r>
          <w:rPr>
            <w:rStyle w:val="Hyperlink"/>
          </w:rPr>
          <w:t xml:space="preserve">https://wateratlas.usf.edu/</w:t>
        </w:r>
      </w:hyperlink>
      <w:r>
        <w:t xml:space="preserve">) were used to establish baseline conditions for the major areas of interest in Figure</w:t>
      </w:r>
      <w:r>
        <w:t xml:space="preserve"> </w:t>
      </w:r>
      <w:r>
        <w:t xml:space="preserve">1</w:t>
      </w:r>
      <w:r>
        <w:t xml:space="preserve">a to compare with the response monitoring data described above. Observations at each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38,000 acres</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monitoring station that was sampled in response to Piney Point. This comparison was made to ensure that the response data were evaluated relative to stations that were spatially relevant (e.g., long-term conditions in Terra Ceia Bay are not the same as those in middle Tampa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w:t>
      </w:r>
    </w:p>
    <w:p>
      <w:pPr>
        <w:pStyle w:val="BodyText"/>
      </w:pPr>
      <w:r>
        <w:t xml:space="preserve">The historical monitoring data were also used to model an expected seasonal pattern for water quality parameters from April to October in 2021. This was done by estimating smoothed splines using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chlorophyll-a, and secchi disk depth as a general analysis of potential patterns in eutrophication in nitrogen-limited systems. Observations for each data type were typically aggregated to the weekly or monthly scale given that sampling occurred at different days over the five month period. Spatial comparisons were based primarily on the areas identified in Figure</w:t>
      </w:r>
      <w:r>
        <w:t xml:space="preserve"> </w:t>
      </w:r>
      <w:r>
        <w:t xml:space="preserve">1</w:t>
      </w:r>
      <w:r>
        <w:t xml:space="preserve">a. Variables with log-normal distribution were log</w:t>
      </w:r>
      <m:oMath>
        <m:sSub>
          <m:e>
            <m:r>
              <m:t>​</m:t>
            </m:r>
          </m:e>
          <m:sub>
            <m:r>
              <m:t>10</m:t>
            </m:r>
          </m:sub>
        </m:sSub>
      </m:oMath>
      <w:r>
        <w:t xml:space="preserve">-transformed (i.e., nutrients, chlorophyll) prior to analysis. For statistical tests using water quality data, only the monitoring results from FDEP were used for analysis given the consistency of sample location and collection date compared to the remainder of the data obtained from other partners. Secchi observations that were visually identified on the bottom (71 observations of 431 in the FDEP data) were removed from analysis because these are right-censored data, whereas all other non-detects were left-censored and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long-term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When appropriate, methods were used to accommodate measured concentrations in water quality variables that were below detection. These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Partner data uploaded or entered manually as Google spreadsheets were imported into R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The suite of R packages available in the tidyverse</w:t>
      </w:r>
      <w:r>
        <w:t xml:space="preserve"> </w:t>
      </w:r>
      <w:r>
        <w:t xml:space="preserve">(</w:t>
      </w:r>
      <w:hyperlink w:anchor="ref-Wickham19">
        <w:r>
          <w:rPr>
            <w:rStyle w:val="Hyperlink"/>
          </w:rPr>
          <w:t xml:space="preserve">Wickham et al., 2019</w:t>
        </w:r>
      </w:hyperlink>
      <w:r>
        <w:t xml:space="preserve">)</w:t>
      </w:r>
      <w:r>
        <w:t xml:space="preserve"> </w:t>
      </w:r>
      <w:r>
        <w:t xml:space="preserve">were used to wrangle the data into an appropriate format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for Tampa Bay, specifically the EPC water quality data and seagrass transect database.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the GAMs for water quality parameters.</w:t>
      </w:r>
    </w:p>
    <w:bookmarkEnd w:id="53"/>
    <w:bookmarkEnd w:id="54"/>
    <w:bookmarkStart w:id="60" w:name="results"/>
    <w:p>
      <w:pPr>
        <w:pStyle w:val="Heading1"/>
      </w:pPr>
      <w:r>
        <w:t xml:space="preserve">Results</w:t>
      </w:r>
    </w:p>
    <w:bookmarkStart w:id="55" w:name="timeline-of-events-from-april-2021"/>
    <w:p>
      <w:pPr>
        <w:pStyle w:val="Heading2"/>
      </w:pPr>
      <w:r>
        <w:t xml:space="preserve">Timeline of events from April 2021</w:t>
      </w:r>
    </w:p>
    <w:p>
      <w:pPr>
        <w:pStyle w:val="FirstParagraph"/>
      </w:pPr>
      <w:r>
        <w:t xml:space="preserve">A general narrative of 2021 events in Tampa Bay following release of wastewater from Piney Point is shown in Figure</w:t>
      </w:r>
      <w:r>
        <w:t xml:space="preserve"> </w:t>
      </w:r>
      <w:r>
        <w:t xml:space="preserve">2</w:t>
      </w:r>
      <w:r>
        <w:t xml:space="preserve">. After the discharge stopped on April 9th, an initial phytoplankton response was observed near Piney Point with concentrations peaking around mid-April (Area 1, Figure</w:t>
      </w:r>
      <w:r>
        <w:t xml:space="preserve"> </w:t>
      </w:r>
      <w:r>
        <w:t xml:space="preserve">4</w:t>
      </w:r>
      <w:r>
        <w:t xml:space="preserve">b). Taxa from the Bacillariophyta phylum (diatoms) were dominant in April, with a maximum chlorophyll concentration of 265 ug/L, although median concentrations for each week in April were less than 10 ug/L. The initial diatom bloom did not persist past April and was partially dispersed by the passage of a strong weather front across the Tampa Bay region on April 10. On April 20th,</w:t>
      </w:r>
      <w:r>
        <w:t xml:space="preserve"> </w:t>
      </w:r>
      <w:r>
        <w:rPr>
          <w:iCs/>
          <w:i/>
        </w:rPr>
        <w:t xml:space="preserve">K. brevis</w:t>
      </w:r>
      <w:r>
        <w:t xml:space="preserve"> </w:t>
      </w:r>
      <w:r>
        <w:t xml:space="preserve">was first observed near Anna Maria Sound at the southern edge of the mouth of Tampa Bay and reached bloom concentrations (&gt;10k cells/L) by May 23rd, although observations were limited to lower Tampa Bay. Also during May,</w:t>
      </w:r>
      <w:r>
        <w:t xml:space="preserve"> </w:t>
      </w:r>
      <w:r>
        <w:rPr>
          <w:iCs/>
          <w:i/>
        </w:rPr>
        <w:t xml:space="preserve">Dapis spp.</w:t>
      </w:r>
      <w:r>
        <w:t xml:space="preserve"> </w:t>
      </w:r>
      <w:r>
        <w:t xml:space="preserve">(cyanobacteria macroalgae) were observed at high abundances in Anna Maria Sound and near Port Manatee.</w:t>
      </w:r>
      <w:r>
        <w:t xml:space="preserve"> </w:t>
      </w:r>
      <w:r>
        <w:rPr>
          <w:iCs/>
          <w:i/>
        </w:rPr>
        <w:t xml:space="preserve">Dapis</w:t>
      </w:r>
      <w:r>
        <w:t xml:space="preserve"> </w:t>
      </w:r>
      <w:r>
        <w:t xml:space="preserve">were observed in large floating mats on the surface and covering benthic and seagrass habitats below the water column at these locations.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mid-July, with bloom conditions not observed in the bay after July. A quantitative description of these events follows.</w:t>
      </w:r>
    </w:p>
    <w:bookmarkEnd w:id="55"/>
    <w:bookmarkStart w:id="56" w:name="water-quality-trends"/>
    <w:p>
      <w:pPr>
        <w:pStyle w:val="Heading2"/>
      </w:pPr>
      <w:r>
        <w:t xml:space="preserve">Water quality trends</w:t>
      </w:r>
    </w:p>
    <w:p>
      <w:pPr>
        <w:pStyle w:val="FirstParagraph"/>
      </w:pPr>
      <w:r>
        <w:t xml:space="preserve">From April through September 2021, 7704 samples were collected for chl-a, dissolved oxygen, total nitrogen, total phosphorus, total ammonia nitrogen, nitrate/nitrite, pH, salinity, secchi depth, and temperature (Table</w:t>
      </w:r>
      <w:r>
        <w:t xml:space="preserve"> </w:t>
      </w:r>
      <w:r>
        <w:t xml:space="preserve">2</w:t>
      </w:r>
      <w:r>
        <w:t xml:space="preserve">). Of these samples, 7.6% were outside of the normal range defined by the long-term monthly monitoring data for the baseline period from 2006 to 2020 (below for Secchi depth, above for all others). The percentage of observations outside of the normal range varied by location and parameter. For chl-a, 50% of the observations were above the normal range for area 1, whereas only 6% and 22% were above for areas 2 and 3, respectively. Total nitrogen concentrations were above the normal range for 37% of observations in area 1, whereas concentrations were above for 22% of observations in area 2 and 22% in area 3. Secchi observations were below the normal range for 34% of observations in area 1 and for 18% and 35% of observations in areas 2 and 3. Notable differences were also observed for dissolved oxygen (e.g., 53% were above in area 1, 44% in area 2). Physical parameters (salinity, temperature) were generally within range over the study period. Inorganic nitrogen (ammonia, nitrate/nitrite) was generally within range, although initial time series showed much higher concentrations for ammonia in April near area 1, similar to the discharge measurements in Table</w:t>
      </w:r>
      <w:r>
        <w:t xml:space="preserve"> </w:t>
      </w:r>
      <w:r>
        <w:t xml:space="preserve">1</w:t>
      </w:r>
      <w:r>
        <w:t xml:space="preserve">. Spatial variation among the parameters showed that values were generally above the normal range (or below for Secchi depth) for many locations near Piney Point, Anna Maria Sound, and the northern mouth of Tampa Bay (Figure</w:t>
      </w:r>
      <w:r>
        <w:t xml:space="preserve"> </w:t>
      </w:r>
      <w:r>
        <w:t xml:space="preserve">3</w:t>
      </w:r>
      <w:r>
        <w:t xml:space="preserve">).</w:t>
      </w:r>
    </w:p>
    <w:p>
      <w:pPr>
        <w:pStyle w:val="BodyText"/>
      </w:pPr>
      <w:r>
        <w:t xml:space="preserve">Total nitrogen, chl-a, and secchi depth followed a temporal progression in 2021 that was distinct from the long-term seasonal trend estimated from historical data (Figure</w:t>
      </w:r>
      <w:r>
        <w:t xml:space="preserve"> </w:t>
      </w:r>
      <w:r>
        <w:t xml:space="preserve">4</w:t>
      </w:r>
      <w:r>
        <w:t xml:space="preserve">). For area 1, total nitrogen and chlorophyll concentrations were frequently above normal ranges during April. Concentrations decreased slightly until June and July when values increased again above the seasonal expectation. Many secchi observations in area 1 were lower than normal in April and July. Observations in areas 2 and 3 were more often within the normal seasonal range, with some exceptions for total nitrogen and chl-a in area 3 in April, May, and July. Statistical comparisons between months for total nitrogen,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for total nitrogen, chl-a, and secchi depth for area 1 and for total nitrogen and chl-a for areas 2 and 3 (Table</w:t>
      </w:r>
      <w:r>
        <w:t xml:space="preserve"> </w:t>
      </w:r>
      <w:r>
        <w:t xml:space="preserve">3</w:t>
      </w:r>
      <w:r>
        <w:t xml:space="preserve">). Results of multiple comparison tests that evaluated differences between pairs of months generally showed that April/May were different from June/July depending on area and parameter. Observations in the later months were generally higher (or lower for Secchi) corresponding to increasing</w:t>
      </w:r>
      <w:r>
        <w:t xml:space="preserve"> </w:t>
      </w:r>
      <w:r>
        <w:rPr>
          <w:iCs/>
          <w:i/>
        </w:rPr>
        <w:t xml:space="preserve">K. brevis</w:t>
      </w:r>
      <w:r>
        <w:t xml:space="preserve"> </w:t>
      </w:r>
      <w:r>
        <w:t xml:space="preserve">abundances.</w:t>
      </w:r>
    </w:p>
    <w:bookmarkEnd w:id="56"/>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56.8%. Common taxa in the red group included</w:t>
      </w:r>
      <w:r>
        <w:t xml:space="preserve"> </w:t>
      </w:r>
      <w:r>
        <w:rPr>
          <w:iCs/>
          <w:i/>
        </w:rPr>
        <w:t xml:space="preserve">Gracilaria spp.</w:t>
      </w:r>
      <w:r>
        <w:t xml:space="preserve"> </w:t>
      </w:r>
      <w:r>
        <w:t xml:space="preserve">and</w:t>
      </w:r>
      <w:r>
        <w:t xml:space="preserve"> </w:t>
      </w:r>
      <w:r>
        <w:rPr>
          <w:iCs/>
          <w:i/>
        </w:rPr>
        <w:t xml:space="preserve">Acanthophora sp.</w:t>
      </w:r>
      <w:r>
        <w:t xml:space="preserve">. Green and cyanobacteria macroalgae were less common, with frequency occurrences of 7.1% and 13.2%. Common taxa in the green group included</w:t>
      </w:r>
      <w:r>
        <w:t xml:space="preserve"> </w:t>
      </w:r>
      <w:r>
        <w:rPr>
          <w:iCs/>
          <w:i/>
        </w:rPr>
        <w:t xml:space="preserve">Ulva spp.</w:t>
      </w:r>
      <w:r>
        <w:t xml:space="preserve"> </w:t>
      </w:r>
      <w:r>
        <w:t xml:space="preserve">and</w:t>
      </w:r>
      <w:r>
        <w:t xml:space="preserve"> </w:t>
      </w:r>
      <w:r>
        <w:rPr>
          <w:iCs/>
          <w:i/>
        </w:rPr>
        <w:t xml:space="preserve">Caulerpa spp.</w:t>
      </w:r>
      <w:r>
        <w:t xml:space="preserve">, whereas</w:t>
      </w:r>
      <w:r>
        <w:t xml:space="preserve"> </w:t>
      </w:r>
      <w:r>
        <w:rPr>
          <w:iCs/>
          <w:i/>
        </w:rPr>
        <w:t xml:space="preserve">Dapis spp.</w:t>
      </w:r>
      <w:r>
        <w:t xml:space="preserve"> </w:t>
      </w:r>
      <w:r>
        <w:t xml:space="preserve">was the only cyanobacteria macroalgae observed. Brown macroalgae in the genus</w:t>
      </w:r>
      <w:r>
        <w:t xml:space="preserve"> </w:t>
      </w:r>
      <w:r>
        <w:rPr>
          <w:iCs/>
          <w:i/>
        </w:rPr>
        <w:t xml:space="preserve">Feldmannia</w:t>
      </w:r>
      <w:r>
        <w:t xml:space="preserve"> </w:t>
      </w:r>
      <w:r>
        <w:t xml:space="preserve">were only observed at 0.1% frequency occurrence. For seagrasses, turtle grass (</w:t>
      </w:r>
      <w:r>
        <w:rPr>
          <w:iCs/>
          <w:i/>
        </w:rPr>
        <w:t xml:space="preserve">T. testudinum</w:t>
      </w:r>
      <w:r>
        <w:t xml:space="preserve">) was the dominant species with frequency occurrence of 50% across all locations and sample dates. Manatee grass (</w:t>
      </w:r>
      <w:r>
        <w:rPr>
          <w:iCs/>
          <w:i/>
        </w:rPr>
        <w:t xml:space="preserve">S. filiforme</w:t>
      </w:r>
      <w:r>
        <w:t xml:space="preserve">) and shoal grass (</w:t>
      </w:r>
      <w:r>
        <w:rPr>
          <w:iCs/>
          <w:i/>
        </w:rPr>
        <w:t xml:space="preserve">H. wrightii</w:t>
      </w:r>
      <w:r>
        <w:t xml:space="preserve">) had similar coverage across all transects, with frequency occurrences of 30.5% and 32.8%,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At the baywide scale, shoal grass is the dominant species, whereas turtle grass is more common in euhaline waters closer to the Gulf.</w:t>
      </w:r>
    </w:p>
    <w:p>
      <w:pPr>
        <w:pStyle w:val="BodyText"/>
      </w:pPr>
      <w:r>
        <w:t xml:space="preserve">Temporal progression of macroalgae and seagrass varied across the months, although a typical pattern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many of the other transects sampled during the study. Red macroalgae were present in high abundances from April to May.</w:t>
      </w:r>
      <w:r>
        <w:t xml:space="preserve"> </w:t>
      </w:r>
      <w:r>
        <w:rPr>
          <w:iCs/>
          <w:i/>
        </w:rPr>
        <w:t xml:space="preserve">Dapis sp.</w:t>
      </w:r>
      <w:r>
        <w:t xml:space="preserve"> </w:t>
      </w:r>
      <w:r>
        <w:t xml:space="preserve">was first observed on May 24th and was present at all of the sample locations on June 4th and 15th.</w:t>
      </w:r>
      <w:r>
        <w:t xml:space="preserve"> </w:t>
      </w:r>
      <w:r>
        <w:rPr>
          <w:iCs/>
          <w:i/>
        </w:rPr>
        <w:t xml:space="preserve">Dapis sp.</w:t>
      </w:r>
      <w:r>
        <w:t xml:space="preserve"> </w:t>
      </w:r>
      <w:r>
        <w:t xml:space="preserve">persisted through June and July, but not was observed after July 20th. Green macroalgae taxa were first observed in July, although at generally low abundances. Red macroalgae were the dominant taxa by the end of September. Overall abundance of seagrass did not change dramatically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across all transects. No transects were sampled in area 2 to the north of Piney Point and no transects were sampled past September in Area 1.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(80.9% in area 1, 95.2% in area 3). Cyanobacteria frequency occurrence peaked in June, with greater coverage in area 3 (42.7%) compared to area 1 (35.7%). Green macroalgae had the second lowest frequency occurrence, although it increased slightly by the end of the study period (8.6% in September in area 1, 30.6%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(44.9% overall in area 1, 57.8% overall area 3), compared to shoal grass (</w:t>
      </w:r>
      <w:r>
        <w:rPr>
          <w:iCs/>
          <w:i/>
        </w:rPr>
        <w:t xml:space="preserve">H. wrightii</w:t>
      </w:r>
      <w:r>
        <w:t xml:space="preserve">, 31% area 1, 37.8% area 3) and manatee grass (</w:t>
      </w:r>
      <w:r>
        <w:rPr>
          <w:iCs/>
          <w:i/>
        </w:rPr>
        <w:t xml:space="preserve">S. filiforme</w:t>
      </w:r>
      <w:r>
        <w:t xml:space="preserve">, 30.5% area 1, 30.4%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(see supplement).</w:t>
      </w:r>
    </w:p>
    <w:bookmarkEnd w:id="57"/>
    <w:bookmarkStart w:id="58" w:name="red-tide-impacts"/>
    <w:p>
      <w:pPr>
        <w:pStyle w:val="Heading2"/>
      </w:pPr>
      <w:r>
        <w:t xml:space="preserve">Red tide impacts</w:t>
      </w:r>
    </w:p>
    <w:p>
      <w:pPr>
        <w:pStyle w:val="FirstParagraph"/>
      </w:pPr>
      <w:r>
        <w:t xml:space="preserve">The increase in</w:t>
      </w:r>
      <w:r>
        <w:t xml:space="preserve"> </w:t>
      </w:r>
      <w:r>
        <w:rPr>
          <w:iCs/>
          <w:i/>
        </w:rPr>
        <w:t xml:space="preserve">K. brevis</w:t>
      </w:r>
      <w:r>
        <w:t xml:space="preserve"> </w:t>
      </w:r>
      <w:r>
        <w:t xml:space="preserve">from April to July to bloom concentrations exceeding 10,000 cells/L was an anomaly in 2021 that is not regularly observed in Tampa Bay. The historical record from 1995 to present in Figure</w:t>
      </w:r>
      <w:r>
        <w:t xml:space="preserve"> </w:t>
      </w:r>
      <w:r>
        <w:t xml:space="preserve">7</w:t>
      </w:r>
      <w:r>
        <w:t xml:space="preserve">a shows the range of cell concentrations sampled in middle and lower Tampa Bay, with only a handful of years having median cell concentrations greater than 10,000 cells/L, notably 2005 and 2018. Median cell concentrations for most years were well below 1,000 cells/L. The highest concentration of 17.6 million cells/L was observed in 2021, whereas only 2006 had a maximum observed concentration above 10 million cells/L</w:t>
      </w:r>
      <w:r>
        <w:t xml:space="preserve"> </w:t>
      </w:r>
      <w:r>
        <w:t xml:space="preserve">(</w:t>
      </w:r>
      <w:hyperlink w:anchor="ref-Flaherty11">
        <w:r>
          <w:rPr>
            <w:rStyle w:val="Hyperlink"/>
          </w:rPr>
          <w:t xml:space="preserve">Flaherty and Landsberg, 2011</w:t>
        </w:r>
      </w:hyperlink>
      <w:r>
        <w:t xml:space="preserve">)</w:t>
      </w:r>
      <w:r>
        <w:t xml:space="preserve">. Seasonally in 2021, bloom concentrations were not observed until the week of May 23, with concentrations peaking by the week of July 4th, after which concentrations declined (Figure</w:t>
      </w:r>
      <w:r>
        <w:t xml:space="preserve"> </w:t>
      </w:r>
      <w:r>
        <w:t xml:space="preserve">7</w:t>
      </w:r>
      <w:r>
        <w:t xml:space="preserve">b). Cumulative rainfall and associated inflow from the main rivers entering Tampa Bay were below historical baseline values (1995 - 2020) in the months prior to the highest bloom concentrations (Figure</w:t>
      </w:r>
      <w:r>
        <w:t xml:space="preserve"> </w:t>
      </w:r>
      <w:r>
        <w:t xml:space="preserve">7</w:t>
      </w:r>
      <w:r>
        <w:t xml:space="preserve">c, d). This likely contributed to elevated salinity values in lower and middle Tampa Bay that created conditions favorable for</w:t>
      </w:r>
      <w:r>
        <w:t xml:space="preserve"> </w:t>
      </w:r>
      <w:r>
        <w:rPr>
          <w:iCs/>
          <w:i/>
        </w:rPr>
        <w:t xml:space="preserve">K. brevis</w:t>
      </w:r>
      <w:r>
        <w:t xml:space="preserve"> </w:t>
      </w:r>
      <w:r>
        <w:t xml:space="preserve">growth, in addition to the elevated nutrient concentrations from the Piney Point discharge.</w:t>
      </w:r>
    </w:p>
    <w:p>
      <w:pPr>
        <w:pStyle w:val="BodyText"/>
      </w:pPr>
      <w:r>
        <w:t xml:space="preserve">Fish kill reports attributed to red tide at the cities of Tampa and Saint Petersburg, FL closely tracked cell concentrations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the first to last week of fish kill reports covered only one and half months, whereas red tide in the bay was observed for nearly four months. Increased fish kill reports in early July may coincided with a shift in winds from Tropical Storm Elsa (Figure</w:t>
      </w:r>
      <w:r>
        <w:t xml:space="preserve"> </w:t>
      </w:r>
      <w:r>
        <w:t xml:space="preserve">7</w:t>
      </w:r>
      <w:r>
        <w:t xml:space="preserve">f), which moved dead fish closer to populated nearshore areas, as noted earlier. By August, Pinellas County and the city of St. Petersburg removed over 1800 tons of dead fish near public and private shoreline areas (K. Hammer Levy, Pinellas County, pers. comm. Aug. 2021).</w:t>
      </w:r>
    </w:p>
    <w:bookmarkEnd w:id="58"/>
    <w:bookmarkStart w:id="59" w:name="nutrient-cycling"/>
    <w:p>
      <w:pPr>
        <w:pStyle w:val="Heading2"/>
      </w:pPr>
      <w:r>
        <w:t xml:space="preserve">Nutrient cycling</w:t>
      </w:r>
    </w:p>
    <w:p>
      <w:pPr>
        <w:pStyle w:val="FirstParagraph"/>
      </w:pPr>
      <w:r>
        <w:t xml:space="preserve">The above results can be considered together to develop a narrative of the temporal shift of nutrient pools between ecosystem components of the bay from April to September, starting with the influx of inorganic nitrogen from Piney Point. Total nitrogen concentrations first peaked in April (Figure</w:t>
      </w:r>
      <w:r>
        <w:t xml:space="preserve"> </w:t>
      </w:r>
      <w:r>
        <w:t xml:space="preserve">8</w:t>
      </w:r>
      <w:r>
        <w:t xml:space="preserve">a), as did chlorophyll-a concentrations (Figure</w:t>
      </w:r>
      <w:r>
        <w:t xml:space="preserve"> </w:t>
      </w:r>
      <w:r>
        <w:t xml:space="preserve">8</w:t>
      </w:r>
      <w:r>
        <w:t xml:space="preserve">b). This initial peak in water quality parameters suggested a unique response of the phytoplankton community as an increase in diatoms (Figure</w:t>
      </w:r>
      <w:r>
        <w:t xml:space="preserve"> </w:t>
      </w:r>
      <w:r>
        <w:t xml:space="preserve">8</w:t>
      </w:r>
      <w:r>
        <w:t xml:space="preserve">c) that can readily utilize inorganic forms of nitrogen (e.g., centric species, also</w:t>
      </w:r>
      <w:r>
        <w:t xml:space="preserve"> </w:t>
      </w:r>
      <w:r>
        <w:rPr>
          <w:iCs/>
          <w:i/>
        </w:rPr>
        <w:t xml:space="preserve">Asterionellopsis sp.</w:t>
      </w:r>
      <w:r>
        <w:t xml:space="preserve"> </w:t>
      </w:r>
      <w:r>
        <w:t xml:space="preserve">and</w:t>
      </w:r>
      <w:r>
        <w:t xml:space="preserve"> </w:t>
      </w:r>
      <w:r>
        <w:rPr>
          <w:iCs/>
          <w:i/>
        </w:rPr>
        <w:t xml:space="preserve">Skeletonema sp.</w:t>
      </w:r>
      <w:r>
        <w:t xml:space="preserve">). Water quality indicators improved slightly following the decrease in diatoms in late April, as noted by relatively lower concentrations of total nitrogen and chlorophyll.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total nitrogen and chlorophyll-a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9"/>
    <w:bookmarkEnd w:id="60"/>
    <w:bookmarkStart w:id="66" w:name="discussion"/>
    <w:p>
      <w:pPr>
        <w:pStyle w:val="Heading1"/>
      </w:pPr>
      <w:r>
        <w:t xml:space="preserve">Discussion</w:t>
      </w:r>
    </w:p>
    <w:p>
      <w:pPr>
        <w:pStyle w:val="FirstParagraph"/>
      </w:pPr>
      <w:r>
        <w:t xml:space="preserve">The observed conditions in Tampa Bay in 2021 following the discharge from Piney Point provide a weight of evidence that demonstrates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discharge at Port Manatee, 2) high abundance of Cyanobacteria in Anna Maria Sound and near Port Manatee, 3) bloom concentrations of red tide in lower and middle Tampa Bay from June through July, and 4) high incidence of fish kill reports prompting local governments to remove over 1800 tons of dead fish from shoreline areas. The observed water quality conditions throughout this period, particularly for total nitrogen, chlorophyll-a, and secchi depth, were outside of normal seasonal ranges for many of the observations (Figures</w:t>
      </w:r>
      <w:r>
        <w:t xml:space="preserve"> </w:t>
      </w:r>
      <w:r>
        <w:t xml:space="preserve">3</w:t>
      </w:r>
      <w:r>
        <w:t xml:space="preserve">, Table</w:t>
      </w:r>
      <w:r>
        <w:t xml:space="preserve"> </w:t>
      </w:r>
      <w:r>
        <w:t xml:space="preserve">2</w:t>
      </w:r>
      <w:r>
        <w:t xml:space="preserve">). Although these out-of-range results had specific temporal and spatial patterns, they were widespread in lower and middle Tampa Bay.</w:t>
      </w:r>
    </w:p>
    <w:p>
      <w:pPr>
        <w:pStyle w:val="BodyText"/>
      </w:pPr>
      <w:r>
        <w:t xml:space="preserve">In addition to the changing environmental conditions observed during the summer, the Piney Point event also represented an anomalous volume and load of labile nitrogen effluent directly into lower Tampa Bay. Spill events</w:t>
      </w:r>
      <w:r>
        <w:t xml:space="preserve"> </w:t>
      </w:r>
      <w:hyperlink r:id="rId61">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discharges to Tampa Bay. An assessment of over 800 reports to FDEP for the Tampa Bay watershed over the last five years showed spill volumes for these events are small (median volume 3630 gallons,</w:t>
      </w:r>
      <w:r>
        <w:t xml:space="preserve"> </w:t>
      </w:r>
      <w:hyperlink r:id="rId62">
        <w:r>
          <w:rPr>
            <w:rStyle w:val="Hyperlink"/>
          </w:rPr>
          <w:t xml:space="preserve">unpublished analysis</w:t>
        </w:r>
      </w:hyperlink>
      <w:r>
        <w:t xml:space="preserve">) compared to the 285 million gallons discharged from Piney Point. Moreover, the estimated nutrient load of 205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2017b</w:t>
        </w:r>
      </w:hyperlink>
      <w:r>
        <w:t xml:space="preserve">)</w:t>
      </w:r>
      <w:r>
        <w:t xml:space="preserve">. From both a monitoring perspective and the nature of the effluent directly discharged into Tampa Bay, indicators of eutrophication and primary production in 2021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support known responses of water quality to nutrient loads for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chlorophyll-a, and water transparency followed expectations of reduced water quality with increased nutrient loads. Temporally, these changes were observed at different times and for different species of phytoplankton. The initial increase in chlorophyll-a was first associated with a diatom bloom in April and then by</w:t>
      </w:r>
      <w:r>
        <w:t xml:space="preserve"> </w:t>
      </w:r>
      <w:r>
        <w:rPr>
          <w:iCs/>
          <w:i/>
        </w:rPr>
        <w:t xml:space="preserve">K. brevis</w:t>
      </w:r>
      <w:r>
        <w:t xml:space="preserve"> </w:t>
      </w:r>
      <w:r>
        <w:t xml:space="preserve">in June and July. Of note is that inorganic species of nitrogen, mainly ammonia, were only present at high concentrations in early April. Concerns of the negative impacts of nutrients from the wastewater release focused primarily on the high concentrations of ammonia in the effluent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total nitrogen that included organic sources were at high concentrations through April and again peaking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Macroalgae trends across the study period were much more dramatic than the subtle differences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 spp.</w:t>
      </w:r>
      <w:r>
        <w:t xml:space="preserve">,</w:t>
      </w:r>
      <w:r>
        <w:t xml:space="preserve"> </w:t>
      </w:r>
      <w:r>
        <w:rPr>
          <w:iCs/>
          <w:i/>
        </w:rPr>
        <w:t xml:space="preserve">Acanthophora sp.</w:t>
      </w:r>
      <w:r>
        <w:t xml:space="preserve">) are more common than green macroalgae (e.g.,</w:t>
      </w:r>
      <w:r>
        <w:t xml:space="preserve"> </w:t>
      </w:r>
      <w:r>
        <w:rPr>
          <w:iCs/>
          <w:i/>
        </w:rPr>
        <w:t xml:space="preserve">Ulva spp.</w:t>
      </w:r>
      <w:r>
        <w:t xml:space="preserve">,</w:t>
      </w:r>
      <w:r>
        <w:t xml:space="preserve"> </w:t>
      </w:r>
      <w:r>
        <w:rPr>
          <w:iCs/>
          <w:i/>
        </w:rPr>
        <w:t xml:space="preserve">Caulerpa spp.</w:t>
      </w:r>
      <w:r>
        <w:t xml:space="preserve">) and seasonally occur earlier in the growing season. The dominance of the red groups early in the summer followed by an increase in</w:t>
      </w:r>
      <w:r>
        <w:t xml:space="preserve"> </w:t>
      </w:r>
      <w:r>
        <w:rPr>
          <w:iCs/>
          <w:i/>
        </w:rPr>
        <w:t xml:space="preserve">Ulva spp.</w:t>
      </w:r>
      <w:r>
        <w:t xml:space="preserve"> </w:t>
      </w:r>
      <w:r>
        <w:t xml:space="preserve">may reflect a natural phenology in Tampa Bay. The most notable change in the macroalgae community was a high abundance of cyanobacteria (i.e.,</w:t>
      </w:r>
      <w:r>
        <w:t xml:space="preserve"> </w:t>
      </w:r>
      <w:r>
        <w:rPr>
          <w:iCs/>
          <w:i/>
        </w:rPr>
        <w:t xml:space="preserve">Dapis sp.</w:t>
      </w:r>
      <w:r>
        <w:t xml:space="preserve">) in May and June. Unusually high abundances of</w:t>
      </w:r>
      <w:r>
        <w:t xml:space="preserve"> </w:t>
      </w:r>
      <w:r>
        <w:rPr>
          <w:iCs/>
          <w:i/>
        </w:rPr>
        <w:t xml:space="preserve">Dapis sp.</w:t>
      </w:r>
      <w:r>
        <w:t xml:space="preserve"> </w:t>
      </w:r>
      <w:r>
        <w:t xml:space="preserve">were observed in Anna Maria Sound near the mouth of Tampa Bay and near Port Manatee at the discharge site. Long-term monitoring data describing normal seasonal variation in macroalgae are unavailable and we cannot distinguish between seasonal changes and those as a potential response to the Piney Point discharge.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w:t>
      </w:r>
      <w:r>
        <w:t xml:space="preserve">and it is not unreasonable to expect the conditions observed in Tampa Bay to be related to nutrients from Piney Point.</w:t>
      </w:r>
    </w:p>
    <w:p>
      <w:pPr>
        <w:pStyle w:val="BodyText"/>
      </w:pPr>
      <w:r>
        <w:t xml:space="preserve">For seagrasses, both major bloom events produced unfavourable water quality conditions, although changes in frequency occurrence of seagrasses were minimal over the study. The long-term effects of the Piney Point discharge on the seagrass community remains uncertain. From 2018 to 2020, seagrass coverage declined by 16% in Tampa Bay, with similar losses observed in Sarasota Bay (18%), Lemon Bay (12%), and Charlotte Harbor (23%) to the south. These broader trends suggest regional drivers are affecting seagrass communities (e.g., variation in precipitation), yet local issues specific to individual bays also pose challenges to managing water quality and subtidal habitats. Recent seagrass losses in Sarasota Bay may be linked to decreased light availability from a persistent red time bloom in 2018. Although the 2021 bloom in Tampa Bay was short-lived, potential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 sp.</w:t>
      </w:r>
      <w:r>
        <w:t xml:space="preserve"> </w:t>
      </w:r>
      <w:r>
        <w:t xml:space="preserve">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discharge from Piney Point, create additional and often preventable challenges in the context of broader issues affecting ecosystem health.</w:t>
      </w:r>
    </w:p>
    <w:p>
      <w:pPr>
        <w:pStyle w:val="BodyText"/>
      </w:pPr>
      <w:r>
        <w:t xml:space="preserve">Fisheries resources were undoubtedly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restrictions for catch and release only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have been extended through the fall.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the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w:t>
      </w:r>
    </w:p>
    <w:p>
      <w:pPr>
        <w:pStyle w:val="BodyText"/>
      </w:pPr>
      <w:r>
        <w:t xml:space="preserve">Additional monitoring and analysis is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63">
        <w:r>
          <w:rPr>
            <w:rStyle w:val="Hyperlink"/>
          </w:rPr>
          <w:t xml:space="preserve">unpublished results</w:t>
        </w:r>
      </w:hyperlink>
      <w:r>
        <w:t xml:space="preserve">). Sediment contaminant results for a suite of metals and chemicals as well as percent silt/clay will be available in 2022 for both April and September 2021 benthic samples.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4">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5">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Compared to past events, the 2021 event differed from previous releases to the bay in that discharge was direct to lower Tampa Bay instead of through channels, rivers or other back-bay habitats (e.g., Alafia River and Bishop Harbor). The comparison to past years provided a stark contrast of the effect of discharge location that is specific to Tampa Bay, but can inform understanding of pollutant dispersal and its impacts on different habitats that varies spatially and throughout the water column.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was used to simulate Eulerian, passive trace concentration</w:t>
      </w:r>
      <w:r>
        <w:t xml:space="preserve"> </w:t>
      </w:r>
      <w:r>
        <w:t xml:space="preserve">(</w:t>
      </w:r>
      <w:hyperlink w:anchor="ref-Chen08">
        <w:r>
          <w:rPr>
            <w:rStyle w:val="Hyperlink"/>
          </w:rPr>
          <w:t xml:space="preserve">Chen et al., 2008</w:t>
        </w:r>
      </w:hyperlink>
      <w:r>
        <w:t xml:space="preserve">,</w:t>
      </w:r>
      <w:r>
        <w:t xml:space="preserve"> </w:t>
      </w:r>
      <w:hyperlink w:anchor="ref-Chen03">
        <w:r>
          <w:rPr>
            <w:rStyle w:val="Hyperlink"/>
          </w:rPr>
          <w:t xml:space="preserve">2003</w:t>
        </w:r>
      </w:hyperlink>
      <w:r>
        <w:t xml:space="preserve">)</w:t>
      </w:r>
      <w:r>
        <w:t xml:space="preserve"> </w:t>
      </w:r>
      <w:r>
        <w:t xml:space="preserve">and expected dilution of nutrients from the point of discharge. Although these results were initially used to inform monitoring locations, the model suggested that the effluent was widespread throughout the bay and persisted for many months after the discharge ceased at Port Manatee. Plume dispersal also suggested that both open-water and back-bay habitats were exposed to nutrient concentrations sufficient to stimulate phytoplankton production. This is due to the relatively long residence time of the water in Tampa Bay</w:t>
      </w:r>
      <w:r>
        <w:t xml:space="preserve"> </w:t>
      </w:r>
      <w:r>
        <w:t xml:space="preserve">(</w:t>
      </w:r>
      <w:hyperlink w:anchor="ref-Weisberg06">
        <w:r>
          <w:rPr>
            <w:rStyle w:val="Hyperlink"/>
          </w:rPr>
          <w:t xml:space="preserve">Weisberg and Zheng, 2006</w:t>
        </w:r>
      </w:hyperlink>
      <w:r>
        <w:t xml:space="preserve">;</w:t>
      </w:r>
      <w:r>
        <w:t xml:space="preserve"> </w:t>
      </w:r>
      <w:hyperlink w:anchor="ref-Zhu15">
        <w:r>
          <w:rPr>
            <w:rStyle w:val="Hyperlink"/>
          </w:rPr>
          <w:t xml:space="preserve">Zhu et al., 2015</w:t>
        </w:r>
      </w:hyperlink>
      <w:r>
        <w:t xml:space="preserve">)</w:t>
      </w:r>
      <w:r>
        <w:t xml:space="preserve">. Although model simulations suggested that nutrient dilution occurred rapidly on the order of 10- to 100-fold in a few days, concentrations were considered biologically relevant given the initial concentrations of labile inorganic nitrogen forms from stack effluent (Table</w:t>
      </w:r>
      <w:r>
        <w:t xml:space="preserve"> </w:t>
      </w:r>
      <w:r>
        <w:t xml:space="preserve">1</w:t>
      </w:r>
      <w:r>
        <w:t xml:space="preserve">) relative to background concentrations for the bay (Table</w:t>
      </w:r>
      <w:r>
        <w:t xml:space="preserve"> </w:t>
      </w:r>
      <w:r>
        <w:t xml:space="preserve">2</w:t>
      </w:r>
      <w:r>
        <w:t xml:space="preserve">).</w:t>
      </w:r>
    </w:p>
    <w:p>
      <w:pPr>
        <w:pStyle w:val="BodyText"/>
      </w:pPr>
      <w:r>
        <w:t xml:space="preserve">In the broader context of mining impacts to surface waters, the results reinforce the understanding that legacy pollutants from phosphate mining are a serious threat to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gypstack release.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first spill event in 2005 occurred following failure of the retaining walls after a heavy rain event and the second event in 2012 occurred after passage of Hurricane Isaac when the holding capacity of the gypstack was exceeded again with heavy rainfall. Massive fish kills were observed and likely related to low pH of the effluent. Unlike Piney Point, inorganic nitrogen concentrations of the effluent were low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can significantly affect coastal resources. These are not isolated examples and enhanced regulatory oversight is needed to safely and effectively close these types of facilities.</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The weight of evidence that 2021 is an anomaly relative to recent prior years provides justification that our interpretation is within the limits of what would be expected by more mechanistic descriptions.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wastewater, could provide a more comprehensive description of the recycling and fate of nitrogen from Piney Point. There may likely never be a definitive link, but this is not necessary to support future actions that ensure that the continued threats of these facilities to the health of coastal resources are mitigated through collaborative efforts by local, regional, and state partners. These efforts are critical to managing the health of Tampa Bay given past successes and the need to address ongoing threats of climate change, population growth, habitat loss, episodic weather events, and recurring pollutant sources to the bay.</w:t>
      </w:r>
    </w:p>
    <w:bookmarkEnd w:id="66"/>
    <w:bookmarkStart w:id="67"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7"/>
    <w:bookmarkStart w:id="78"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8"/>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to July 2021 by monitoring data type (b) in response to wastewater discharge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346026"/>
            <wp:effectExtent b="0" l="0" r="0" t="0"/>
            <wp:docPr descr="Figure 2: Graphical timeline of events from the discharge of wastewater effluent at Piney Point starting March 30th, 2021 through the end of July with the gradual decline of red tide in Tampa Bay." title="" id="1" name="Picture"/>
            <a:graphic>
              <a:graphicData uri="http://schemas.openxmlformats.org/drawingml/2006/picture">
                <pic:pic>
                  <pic:nvPicPr>
                    <pic:cNvPr descr="C:/proj/piney-point-manu/figs/timeline.jpeg" id="0" name="Picture"/>
                    <pic:cNvPicPr>
                      <a:picLocks noChangeArrowheads="1" noChangeAspect="1"/>
                    </pic:cNvPicPr>
                  </pic:nvPicPr>
                  <pic:blipFill>
                    <a:blip r:embed="rId69"/>
                    <a:stretch>
                      <a:fillRect/>
                    </a:stretch>
                  </pic:blipFill>
                  <pic:spPr bwMode="auto">
                    <a:xfrm>
                      <a:off x="0" y="0"/>
                      <a:ext cx="5943600" cy="3346026"/>
                    </a:xfrm>
                    <a:prstGeom prst="rect">
                      <a:avLst/>
                    </a:prstGeom>
                    <a:noFill/>
                    <a:ln w="9525">
                      <a:noFill/>
                      <a:headEnd/>
                      <a:tailEnd/>
                    </a:ln>
                  </pic:spPr>
                </pic:pic>
              </a:graphicData>
            </a:graphic>
          </wp:inline>
        </w:drawing>
      </w:r>
    </w:p>
    <w:p>
      <w:pPr>
        <w:pStyle w:val="ImageCaption"/>
      </w:pPr>
      <w:r>
        <w:t xml:space="preserve">Figure 2: Graphical timeline of events from the discharge of wastewater effluent at Piney Point starting March 30th, 2021 through the end of July with the gradual decline of red tide in Tampa Bay.</w:t>
      </w:r>
    </w:p>
    <w:p>
      <w:pPr>
        <w:pStyle w:val="CaptionedFigure"/>
      </w:pPr>
      <w:r>
        <w:drawing>
          <wp:inline>
            <wp:extent cx="5943600" cy="3467099"/>
            <wp:effectExtent b="0" l="0" r="0" t="0"/>
            <wp:docPr descr="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70"/>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Sampled water quality data for April to July 2021 in response to wastewater discarge from Piney Point for (a) total nitrogen (mg/L), (b) chlorophyll-a (ug/L), and (c) secchi disk depth (meters). Values outside of the normal range (above for total nitrogen and chlorophyll, below for secchi) are outlined in black and those in normal range are outlined in light grey. Color ramps and point sizes show relative values (reversed for Secchi). Normal ranges are defined as within +/-1 standard deviation of the mean for the month of observation from 2006 to 2021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71"/>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discharge are shown in thick lines (+/- 95% confidence), with observed samples overlaid on the plots to emphasize deviation of 2021 data from historical seasonal estimates. Forecasted values are based on Generalized Additive Models fit to historical baseline data from 2006 to early 2021,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Results show dominance of manatee grass (Syringodium filiforme) and red macroalgae groups, with abundances of Dapis s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2"/>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Results show dominance of manatee grass (</w:t>
      </w:r>
      <w:r>
        <w:rPr>
          <w:iCs/>
          <w:i/>
        </w:rPr>
        <w:t xml:space="preserve">Syringodium filiforme</w:t>
      </w:r>
      <w:r>
        <w:t xml:space="preserve">) and red macroalgae groups, with abundances of</w:t>
      </w:r>
      <w:r>
        <w:t xml:space="preserve"> </w:t>
      </w:r>
      <w:r>
        <w:rPr>
          <w:iCs/>
          <w:i/>
        </w:rPr>
        <w:t xml:space="preserve">Dapis sp.</w:t>
      </w:r>
      <w:r>
        <w:t xml:space="preserve"> </w:t>
      </w:r>
      <w:r>
        <w:t xml:space="preserve">(cyanobacteria) peaking in June and green macroalgae (</w:t>
      </w:r>
      <w:r>
        <w:rPr>
          <w:iCs/>
          <w:i/>
        </w:rPr>
        <w:t xml:space="preserve">Ulva spp.</w:t>
      </w:r>
      <w:r>
        <w:t xml:space="preserve">) increasing in July. Abundances are Braun-Blanquet coverage estimates.</w:t>
      </w:r>
    </w:p>
    <w:p>
      <w:pPr>
        <w:pStyle w:val="CaptionedFigure"/>
      </w:pPr>
      <w:r>
        <w:drawing>
          <wp:inline>
            <wp:extent cx="5943600" cy="3962400"/>
            <wp:effectExtent b="0" l="0" r="0" t="0"/>
            <wp:docPr descr="Figure 6: Frequency occurrence estimates for (a) area 1 and (b) area 3 (Figure 1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3"/>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(Figure</w:t>
      </w:r>
      <w:r>
        <w:t xml:space="preserve"> </w:t>
      </w:r>
      <w:r>
        <w:t xml:space="preserve">1</w:t>
      </w:r>
      <w:r>
        <w:t xml:space="preserve">a) for macroalgae (top) and seagrass (bottom) rapid response transect surveys across all transects (n = 38) near Piney Point. Estimates are grouped by sample months in 2021. Frequency occurrences are absolute for each taxa based on presence/absence, whereas the total frequency occurrence applies to any taxa observed on each transect. Points are offset slightly for readability.</w:t>
      </w:r>
    </w:p>
    <w:p>
      <w:pPr>
        <w:pStyle w:val="CaptionedFigure"/>
      </w:pPr>
      <w:r>
        <w:drawing>
          <wp:inline>
            <wp:extent cx="5943600" cy="7264400"/>
            <wp:effectExtent b="0" l="0" r="0" t="0"/>
            <wp:docPr descr="Figure 7: Karenia brevis 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4"/>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(100k cells/L) (a) by year and (b) by week in 2021, (c) cumulative precipitation in 2021 compared to past years, (d) cumulative inflow in 2021 compared to past years, (e) fish kill reports in 2021, and (f) wind rose plots for 2021 with notable breaks before/after discharge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5">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6">
        <w:r>
          <w:rPr>
            <w:rStyle w:val="Hyperlink"/>
          </w:rPr>
          <w:t xml:space="preserve">https://public.myfwc.com/FWRI/FishKillReport/</w:t>
        </w:r>
      </w:hyperlink>
      <w:r>
        <w:t xml:space="preserve">), precipitation data are from Tampa International Airport, inflow estimates are for all of Tampa Bay from USGS gaged sites, and wind rose plots are from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7"/>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 sp.</w:t>
      </w:r>
      <w:r>
        <w:t xml:space="preserve"> </w:t>
      </w:r>
      <w:r>
        <w:t xml:space="preserve">and</w:t>
      </w:r>
      <w:r>
        <w:t xml:space="preserve"> </w:t>
      </w:r>
      <w:r>
        <w:rPr>
          <w:iCs/>
          <w:i/>
        </w:rPr>
        <w:t xml:space="preserve">Skeletonema sp</w:t>
      </w:r>
      <w:r>
        <w:t xml:space="preserve">.</w:t>
      </w:r>
    </w:p>
    <w:bookmarkEnd w:id="78"/>
    <w:bookmarkStart w:id="79"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effluent or stack water.</w:t>
      </w:r>
    </w:p>
    <w:tbl>
      <w:tblPr>
        <w:tblStyle w:val="Table"/>
        <w:tblW w:type="pct" w:w="50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effluent or stack water."/>
      </w:tblPr>
      <w:tblGrid>
        <w:gridCol w:w="2143"/>
        <w:gridCol w:w="1584"/>
        <w:gridCol w:w="2143"/>
        <w:gridCol w:w="2049"/>
      </w:tblGrid>
      <w:tr>
        <w:tc>
          <w:p>
            <w:pPr>
              <w:pStyle w:val="Compact"/>
              <w:jc w:val="left"/>
            </w:pPr>
            <w:r>
              <w:t xml:space="preserve">Water quality variable</w:t>
            </w:r>
          </w:p>
        </w:tc>
        <w:tc>
          <w:p>
            <w:pPr>
              <w:pStyle w:val="Compact"/>
              <w:jc w:val="left"/>
            </w:pPr>
            <w:r>
              <w:t xml:space="preserve">2019 stack value</w:t>
            </w:r>
          </w:p>
        </w:tc>
        <w:tc>
          <w:p>
            <w:pPr>
              <w:pStyle w:val="Compact"/>
              <w:jc w:val="left"/>
            </w:pPr>
            <w:r>
              <w:t xml:space="preserve">2021 end-of-pipe value</w:t>
            </w:r>
          </w:p>
        </w:tc>
        <w:tc>
          <w:p>
            <w:pPr>
              <w:pStyle w:val="Compact"/>
              <w:jc w:val="left"/>
            </w:pPr>
            <w:r>
              <w:t xml:space="preserve">Bay median (min, max)</w:t>
            </w:r>
          </w:p>
        </w:tc>
      </w:tr>
      <w:tr>
        <w:tc>
          <w:p>
            <w:pPr>
              <w:pStyle w:val="Compact"/>
              <w:jc w:val="left"/>
            </w:pPr>
            <w:r>
              <w:t xml:space="preserve">Nitrate/Nitrite (mg/L)</w:t>
            </w:r>
          </w:p>
        </w:tc>
        <w:tc>
          <w:p>
            <w:pPr>
              <w:pStyle w:val="Compact"/>
              <w:jc w:val="left"/>
            </w:pPr>
            <w:r>
              <w:t xml:space="preserve">0.004</w:t>
            </w:r>
          </w:p>
        </w:tc>
        <w:tc>
          <w:p>
            <w:pPr>
              <w:pStyle w:val="Compact"/>
              <w:jc w:val="left"/>
            </w:pPr>
            <w:r>
              <w:t xml:space="preserve">0.292</w:t>
            </w:r>
          </w:p>
        </w:tc>
        <w:tc>
          <w:p>
            <w:pPr>
              <w:pStyle w:val="Compact"/>
              <w:jc w:val="left"/>
            </w:pPr>
            <w:r>
              <w:t xml:space="preserve">0.012 (0.007, 0.014)</w:t>
            </w:r>
          </w:p>
        </w:tc>
      </w:tr>
      <w:tr>
        <w:tc>
          <w:p>
            <w:pPr>
              <w:pStyle w:val="Compact"/>
              <w:jc w:val="left"/>
            </w:pPr>
            <w:r>
              <w:t xml:space="preserve">NH3, NH4+ (mg/L)</w:t>
            </w:r>
          </w:p>
        </w:tc>
        <w:tc>
          <w:p>
            <w:pPr>
              <w:pStyle w:val="Compact"/>
              <w:jc w:val="left"/>
            </w:pPr>
            <w:r>
              <w:t xml:space="preserve">210</w:t>
            </w:r>
          </w:p>
        </w:tc>
        <w:tc>
          <w:p>
            <w:pPr>
              <w:pStyle w:val="Compact"/>
              <w:jc w:val="left"/>
            </w:pPr>
            <w:r>
              <w:t xml:space="preserve">210</w:t>
            </w:r>
          </w:p>
        </w:tc>
        <w:tc>
          <w:p>
            <w:pPr>
              <w:pStyle w:val="Compact"/>
              <w:jc w:val="left"/>
            </w:pPr>
            <w:r>
              <w:t xml:space="preserve">0.019 (0.007, 0.039)</w:t>
            </w:r>
          </w:p>
        </w:tc>
      </w:tr>
      <w:tr>
        <w:tc>
          <w:p>
            <w:pPr>
              <w:pStyle w:val="Compact"/>
              <w:jc w:val="left"/>
            </w:pPr>
            <w:r>
              <w:t xml:space="preserve">TN (mg/L)</w:t>
            </w:r>
          </w:p>
        </w:tc>
        <w:tc>
          <w:p>
            <w:pPr>
              <w:pStyle w:val="Compact"/>
              <w:jc w:val="left"/>
            </w:pPr>
            <w:r>
              <w:t xml:space="preserve">230</w:t>
            </w:r>
          </w:p>
        </w:tc>
        <w:tc>
          <w:p>
            <w:pPr>
              <w:pStyle w:val="Compact"/>
              <w:jc w:val="left"/>
            </w:pPr>
            <w:r>
              <w:t xml:space="preserve">220</w:t>
            </w:r>
          </w:p>
        </w:tc>
        <w:tc>
          <w:p>
            <w:pPr>
              <w:pStyle w:val="Compact"/>
              <w:jc w:val="left"/>
            </w:pPr>
            <w:r>
              <w:t xml:space="preserve">0.288 (0.226, 0.385)</w:t>
            </w:r>
          </w:p>
        </w:tc>
      </w:tr>
      <w:tr>
        <w:tc>
          <w:p>
            <w:pPr>
              <w:pStyle w:val="Compact"/>
              <w:jc w:val="left"/>
            </w:pPr>
            <w:r>
              <w:t xml:space="preserve">TP (mg/L)</w:t>
            </w:r>
          </w:p>
        </w:tc>
        <w:tc>
          <w:p>
            <w:pPr>
              <w:pStyle w:val="Compact"/>
              <w:jc w:val="left"/>
            </w:pPr>
            <w:r>
              <w:t xml:space="preserve">160</w:t>
            </w:r>
          </w:p>
        </w:tc>
        <w:tc>
          <w:p>
            <w:pPr>
              <w:pStyle w:val="Compact"/>
              <w:jc w:val="left"/>
            </w:pPr>
            <w:r>
              <w:t xml:space="preserve">150.5</w:t>
            </w:r>
          </w:p>
        </w:tc>
        <w:tc>
          <w:p>
            <w:pPr>
              <w:pStyle w:val="Compact"/>
              <w:jc w:val="left"/>
            </w:pPr>
            <w:r>
              <w:t xml:space="preserve">0.082 (0.058, 0.145)</w:t>
            </w:r>
          </w:p>
        </w:tc>
      </w:tr>
      <w:tr>
        <w:tc>
          <w:p>
            <w:pPr>
              <w:pStyle w:val="Compact"/>
              <w:jc w:val="left"/>
            </w:pPr>
            <w:r>
              <w:t xml:space="preserve">Ortho-P (mg/L)</w:t>
            </w:r>
          </w:p>
        </w:tc>
        <w:tc>
          <w:p>
            <w:pPr>
              <w:pStyle w:val="Compact"/>
              <w:jc w:val="left"/>
            </w:pPr>
            <w:r>
              <w:t xml:space="preserve">150</w:t>
            </w:r>
          </w:p>
        </w:tc>
        <w:tc>
          <w:p>
            <w:pPr>
              <w:pStyle w:val="Compact"/>
              <w:jc w:val="left"/>
            </w:pPr>
            <w:r>
              <w:t xml:space="preserve">147.5</w:t>
            </w:r>
          </w:p>
        </w:tc>
        <w:tc>
          <w:p>
            <w:pPr>
              <w:pStyle w:val="Compact"/>
              <w:jc w:val="left"/>
            </w:pPr>
            <w:r>
              <w:t xml:space="preserve">0.049 (0.029, 0.055)</w:t>
            </w:r>
          </w:p>
        </w:tc>
      </w:tr>
      <w:tr>
        <w:tc>
          <w:p>
            <w:pPr>
              <w:pStyle w:val="Compact"/>
              <w:jc w:val="left"/>
            </w:pPr>
            <w:r>
              <w:t xml:space="preserve">DO (% sat.)</w:t>
            </w:r>
          </w:p>
        </w:tc>
        <w:tc>
          <w:p>
            <w:pPr>
              <w:pStyle w:val="Compact"/>
              <w:jc w:val="left"/>
            </w:pPr>
            <w:r>
              <w:t xml:space="preserve">107.5</w:t>
            </w:r>
          </w:p>
        </w:tc>
        <w:tc>
          <w:p>
            <w:pPr>
              <w:pStyle w:val="Compact"/>
              <w:jc w:val="left"/>
            </w:pPr>
            <w:r>
              <w:t xml:space="preserve">-</w:t>
            </w:r>
          </w:p>
        </w:tc>
        <w:tc>
          <w:p>
            <w:pPr>
              <w:pStyle w:val="Compact"/>
              <w:jc w:val="left"/>
            </w:pPr>
            <w:r>
              <w:t xml:space="preserve">90.7 (86, 92)</w:t>
            </w:r>
          </w:p>
        </w:tc>
      </w:tr>
      <w:tr>
        <w:tc>
          <w:p>
            <w:pPr>
              <w:pStyle w:val="Compact"/>
              <w:jc w:val="left"/>
            </w:pPr>
            <w:r>
              <w:t xml:space="preserve">pH</w:t>
            </w:r>
          </w:p>
        </w:tc>
        <w:tc>
          <w:p>
            <w:pPr>
              <w:pStyle w:val="Compact"/>
              <w:jc w:val="left"/>
            </w:pPr>
            <w:r>
              <w:t xml:space="preserve">4</w:t>
            </w:r>
          </w:p>
        </w:tc>
        <w:tc>
          <w:p>
            <w:pPr>
              <w:pStyle w:val="Compact"/>
              <w:jc w:val="left"/>
            </w:pPr>
            <w:r>
              <w:t xml:space="preserve">-</w:t>
            </w:r>
          </w:p>
        </w:tc>
        <w:tc>
          <w:p>
            <w:pPr>
              <w:pStyle w:val="Compact"/>
              <w:jc w:val="left"/>
            </w:pPr>
            <w:r>
              <w:t xml:space="preserve">8.1 (8, 8.1)</w:t>
            </w:r>
          </w:p>
        </w:tc>
      </w:tr>
      <w:tr>
        <w:tc>
          <w:p>
            <w:pPr>
              <w:pStyle w:val="Compact"/>
              <w:jc w:val="left"/>
            </w:pPr>
            <w:r>
              <w:t xml:space="preserve">Chl-a (ug/L)</w:t>
            </w:r>
          </w:p>
        </w:tc>
        <w:tc>
          <w:p>
            <w:pPr>
              <w:pStyle w:val="Compact"/>
              <w:jc w:val="left"/>
            </w:pPr>
            <w:r>
              <w:t xml:space="preserve">-</w:t>
            </w:r>
          </w:p>
        </w:tc>
        <w:tc>
          <w:p>
            <w:pPr>
              <w:pStyle w:val="Compact"/>
              <w:jc w:val="left"/>
            </w:pPr>
            <w:r>
              <w:t xml:space="preserve">105</w:t>
            </w:r>
          </w:p>
        </w:tc>
        <w:tc>
          <w:p>
            <w:pPr>
              <w:pStyle w:val="Compact"/>
              <w:jc w:val="left"/>
            </w:pPr>
            <w:r>
              <w:t xml:space="preserve">3.1 (2.3, 3.5)</w:t>
            </w:r>
          </w:p>
        </w:tc>
      </w:tr>
    </w:tbl>
    <w:p/>
    <w:p>
      <w:pPr>
        <w:pStyle w:val="TableCaption"/>
      </w:pPr>
      <w:r>
        <w:t xml:space="preserve">Table 2: Summary of water quality variables collected in Tampa Bay from March to July 2021 in response to wastewater discharge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0"/>
        <w:tblLook w:firstRow="1" w:lastRow="0" w:firstColumn="0" w:lastColumn="0" w:noHBand="0" w:noVBand="0" w:val="0020"/>
        <w:tblCaption w:val="Table 2: Summary of water quality variables collected in Tampa Bay from March to July 2021 in response to wastewater discharge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1 for values collected at the nearest long-term monitoring site to each sample location. The final column shows the percentage of total observations that were below detection limits (including Secchi on bottom). Medians denoted by “-” could not be calculated due to insufficient values above detection."/>
      </w:tblPr>
      <w:tblGrid>
        <w:gridCol w:w="425"/>
        <w:gridCol w:w="1958"/>
        <w:gridCol w:w="1788"/>
        <w:gridCol w:w="596"/>
        <w:gridCol w:w="766"/>
        <w:gridCol w:w="510"/>
        <w:gridCol w:w="510"/>
        <w:gridCol w:w="1362"/>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Med. (Min., Max.)</w:t>
            </w:r>
          </w:p>
        </w:tc>
        <w:tc>
          <w:p>
            <w:pPr>
              <w:pStyle w:val="Compact"/>
              <w:jc w:val="right"/>
            </w:pPr>
            <w:r>
              <w:t xml:space="preserve">N obs.</w:t>
            </w:r>
          </w:p>
        </w:tc>
        <w:tc>
          <w:p>
            <w:pPr>
              <w:pStyle w:val="Compact"/>
              <w:jc w:val="right"/>
            </w:pPr>
            <w:r>
              <w:t xml:space="preserve">in range</w:t>
            </w:r>
          </w:p>
        </w:tc>
        <w:tc>
          <w:p>
            <w:pPr>
              <w:pStyle w:val="Compact"/>
              <w:jc w:val="right"/>
            </w:pPr>
            <w:r>
              <w:t xml:space="preserve">above</w:t>
            </w:r>
          </w:p>
        </w:tc>
        <w:tc>
          <w:p>
            <w:pPr>
              <w:pStyle w:val="Compact"/>
              <w:jc w:val="right"/>
            </w:pPr>
            <w:r>
              <w:t xml:space="preserve">below</w:t>
            </w:r>
          </w:p>
        </w:tc>
        <w:tc>
          <w:p>
            <w:pPr>
              <w:pStyle w:val="Compact"/>
              <w:jc w:val="right"/>
            </w:pPr>
            <w:r>
              <w:t xml:space="preserve">Below detection</w:t>
            </w:r>
          </w:p>
        </w:tc>
      </w:tr>
      <w:tr>
        <w:tc>
          <w:p>
            <w:pPr>
              <w:pStyle w:val="Compact"/>
              <w:jc w:val="left"/>
            </w:pPr>
            <w:r>
              <w:t xml:space="preserve">1</w:t>
            </w:r>
          </w:p>
        </w:tc>
        <w:tc>
          <w:p>
            <w:pPr>
              <w:pStyle w:val="Compact"/>
              <w:jc w:val="left"/>
            </w:pPr>
            <w:r>
              <w:t xml:space="preserve">Chl-a (ug/L)</w:t>
            </w:r>
          </w:p>
        </w:tc>
        <w:tc>
          <w:p>
            <w:pPr>
              <w:pStyle w:val="Compact"/>
              <w:jc w:val="left"/>
            </w:pPr>
            <w:r>
              <w:t xml:space="preserve">4.3 (1.1, 265.01)</w:t>
            </w:r>
          </w:p>
        </w:tc>
        <w:tc>
          <w:p>
            <w:pPr>
              <w:pStyle w:val="Compact"/>
              <w:jc w:val="right"/>
            </w:pPr>
            <w:r>
              <w:t xml:space="preserve">485</w:t>
            </w:r>
          </w:p>
        </w:tc>
        <w:tc>
          <w:p>
            <w:pPr>
              <w:pStyle w:val="Compact"/>
              <w:jc w:val="right"/>
            </w:pPr>
            <w:r>
              <w:t xml:space="preserve">43.5</w:t>
            </w:r>
          </w:p>
        </w:tc>
        <w:tc>
          <w:p>
            <w:pPr>
              <w:pStyle w:val="Compact"/>
              <w:jc w:val="right"/>
            </w:pPr>
            <w:r>
              <w:t xml:space="preserve">50.1</w:t>
            </w:r>
          </w:p>
        </w:tc>
        <w:tc>
          <w:p>
            <w:pPr>
              <w:pStyle w:val="Compact"/>
              <w:jc w:val="right"/>
            </w:pPr>
            <w:r>
              <w:t xml:space="preserve">6.4</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97.9 (28.3, 215.3)</w:t>
            </w:r>
          </w:p>
        </w:tc>
        <w:tc>
          <w:p>
            <w:pPr>
              <w:pStyle w:val="Compact"/>
              <w:jc w:val="right"/>
            </w:pPr>
            <w:r>
              <w:t xml:space="preserve">430</w:t>
            </w:r>
          </w:p>
        </w:tc>
        <w:tc>
          <w:p>
            <w:pPr>
              <w:pStyle w:val="Compact"/>
              <w:jc w:val="right"/>
            </w:pPr>
            <w:r>
              <w:t xml:space="preserve">30.0</w:t>
            </w:r>
          </w:p>
        </w:tc>
        <w:tc>
          <w:p>
            <w:pPr>
              <w:pStyle w:val="Compact"/>
              <w:jc w:val="right"/>
            </w:pPr>
            <w:r>
              <w:t xml:space="preserve">53.3</w:t>
            </w:r>
          </w:p>
        </w:tc>
        <w:tc>
          <w:p>
            <w:pPr>
              <w:pStyle w:val="Compact"/>
              <w:jc w:val="right"/>
            </w:pPr>
            <w:r>
              <w:t xml:space="preserve">16.7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0.005 (0, 14.86)</w:t>
            </w:r>
          </w:p>
        </w:tc>
        <w:tc>
          <w:p>
            <w:pPr>
              <w:pStyle w:val="Compact"/>
              <w:jc w:val="right"/>
            </w:pPr>
            <w:r>
              <w:t xml:space="preserve">495</w:t>
            </w:r>
          </w:p>
        </w:tc>
        <w:tc>
          <w:p>
            <w:pPr>
              <w:pStyle w:val="Compact"/>
              <w:jc w:val="right"/>
            </w:pPr>
            <w:r>
              <w:t xml:space="preserve">65.7</w:t>
            </w:r>
          </w:p>
        </w:tc>
        <w:tc>
          <w:p>
            <w:pPr>
              <w:pStyle w:val="Compact"/>
              <w:jc w:val="right"/>
            </w:pPr>
            <w:r>
              <w:t xml:space="preserve">17.8</w:t>
            </w:r>
          </w:p>
        </w:tc>
        <w:tc>
          <w:p>
            <w:pPr>
              <w:pStyle w:val="Compact"/>
              <w:jc w:val="right"/>
            </w:pPr>
            <w:r>
              <w:t xml:space="preserve">16.6</w:t>
            </w:r>
          </w:p>
        </w:tc>
        <w:tc>
          <w:p>
            <w:pPr>
              <w:pStyle w:val="Compact"/>
              <w:jc w:val="right"/>
            </w:pPr>
            <w:r>
              <w:t xml:space="preserve">26.9</w:t>
            </w:r>
          </w:p>
        </w:tc>
      </w:tr>
      <w:tr>
        <w:tc>
          <w:p/>
        </w:tc>
        <w:tc>
          <w:p>
            <w:pPr>
              <w:pStyle w:val="Compact"/>
              <w:jc w:val="left"/>
            </w:pPr>
            <w:r>
              <w:t xml:space="preserve">Nitrate/Nitrite (mg/L)</w:t>
            </w:r>
          </w:p>
        </w:tc>
        <w:tc>
          <w:p>
            <w:pPr>
              <w:pStyle w:val="Compact"/>
              <w:jc w:val="left"/>
            </w:pPr>
            <w:r>
              <w:t xml:space="preserve">0 (0, 0.14352)</w:t>
            </w:r>
          </w:p>
        </w:tc>
        <w:tc>
          <w:p>
            <w:pPr>
              <w:pStyle w:val="Compact"/>
              <w:jc w:val="right"/>
            </w:pPr>
            <w:r>
              <w:t xml:space="preserve">517</w:t>
            </w:r>
          </w:p>
        </w:tc>
        <w:tc>
          <w:p>
            <w:pPr>
              <w:pStyle w:val="Compact"/>
              <w:jc w:val="right"/>
            </w:pPr>
            <w:r>
              <w:t xml:space="preserve">63.1</w:t>
            </w:r>
          </w:p>
        </w:tc>
        <w:tc>
          <w:p>
            <w:pPr>
              <w:pStyle w:val="Compact"/>
              <w:jc w:val="right"/>
            </w:pPr>
            <w:r>
              <w:t xml:space="preserve">19.1</w:t>
            </w:r>
          </w:p>
        </w:tc>
        <w:tc>
          <w:p>
            <w:pPr>
              <w:pStyle w:val="Compact"/>
              <w:jc w:val="right"/>
            </w:pPr>
            <w:r>
              <w:t xml:space="preserve">17.8</w:t>
            </w:r>
          </w:p>
        </w:tc>
        <w:tc>
          <w:p>
            <w:pPr>
              <w:pStyle w:val="Compact"/>
              <w:jc w:val="right"/>
            </w:pPr>
            <w:r>
              <w:t xml:space="preserve">70.2</w:t>
            </w:r>
          </w:p>
        </w:tc>
      </w:tr>
      <w:tr>
        <w:tc>
          <w:p/>
        </w:tc>
        <w:tc>
          <w:p>
            <w:pPr>
              <w:pStyle w:val="Compact"/>
              <w:jc w:val="left"/>
            </w:pPr>
            <w:r>
              <w:t xml:space="preserve">pH</w:t>
            </w:r>
          </w:p>
        </w:tc>
        <w:tc>
          <w:p>
            <w:pPr>
              <w:pStyle w:val="Compact"/>
              <w:jc w:val="left"/>
            </w:pPr>
            <w:r>
              <w:t xml:space="preserve">8.1 (6.8, 9.1)</w:t>
            </w:r>
          </w:p>
        </w:tc>
        <w:tc>
          <w:p>
            <w:pPr>
              <w:pStyle w:val="Compact"/>
              <w:jc w:val="right"/>
            </w:pPr>
            <w:r>
              <w:t xml:space="preserve">476</w:t>
            </w:r>
          </w:p>
        </w:tc>
        <w:tc>
          <w:p>
            <w:pPr>
              <w:pStyle w:val="Compact"/>
              <w:jc w:val="right"/>
            </w:pPr>
            <w:r>
              <w:t xml:space="preserve">57.6</w:t>
            </w:r>
          </w:p>
        </w:tc>
        <w:tc>
          <w:p>
            <w:pPr>
              <w:pStyle w:val="Compact"/>
              <w:jc w:val="right"/>
            </w:pPr>
            <w:r>
              <w:t xml:space="preserve">28.8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30.2 (12.9, 34.6)</w:t>
            </w:r>
          </w:p>
        </w:tc>
        <w:tc>
          <w:p>
            <w:pPr>
              <w:pStyle w:val="Compact"/>
              <w:jc w:val="right"/>
            </w:pPr>
            <w:r>
              <w:t xml:space="preserve">441</w:t>
            </w:r>
          </w:p>
        </w:tc>
        <w:tc>
          <w:p>
            <w:pPr>
              <w:pStyle w:val="Compact"/>
              <w:jc w:val="right"/>
            </w:pPr>
            <w:r>
              <w:t xml:space="preserve">83.0</w:t>
            </w:r>
          </w:p>
        </w:tc>
        <w:tc>
          <w:p>
            <w:pPr>
              <w:pStyle w:val="Compact"/>
              <w:jc w:val="right"/>
            </w:pPr>
            <w:r>
              <w:t xml:space="preserve">4.3</w:t>
            </w:r>
          </w:p>
        </w:tc>
        <w:tc>
          <w:p>
            <w:pPr>
              <w:pStyle w:val="Compact"/>
              <w:jc w:val="right"/>
            </w:pPr>
            <w:r>
              <w:t xml:space="preserve">12.7</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2.6 (0.5, 9.5)</w:t>
            </w:r>
          </w:p>
        </w:tc>
        <w:tc>
          <w:p>
            <w:pPr>
              <w:pStyle w:val="Compact"/>
              <w:jc w:val="right"/>
            </w:pPr>
            <w:r>
              <w:t xml:space="preserve">263</w:t>
            </w:r>
          </w:p>
        </w:tc>
        <w:tc>
          <w:p>
            <w:pPr>
              <w:pStyle w:val="Compact"/>
              <w:jc w:val="right"/>
            </w:pPr>
            <w:r>
              <w:t xml:space="preserve">44.1</w:t>
            </w:r>
          </w:p>
        </w:tc>
        <w:tc>
          <w:p>
            <w:pPr>
              <w:pStyle w:val="Compact"/>
              <w:jc w:val="right"/>
            </w:pPr>
            <w:r>
              <w:t xml:space="preserve">22.1</w:t>
            </w:r>
          </w:p>
        </w:tc>
        <w:tc>
          <w:p>
            <w:pPr>
              <w:pStyle w:val="Compact"/>
              <w:jc w:val="right"/>
            </w:pPr>
            <w:r>
              <w:t xml:space="preserve">33.8</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25.5 (19.6, 32.9)</w:t>
            </w:r>
          </w:p>
        </w:tc>
        <w:tc>
          <w:p>
            <w:pPr>
              <w:pStyle w:val="Compact"/>
              <w:jc w:val="right"/>
            </w:pPr>
            <w:r>
              <w:t xml:space="preserve">442</w:t>
            </w:r>
          </w:p>
        </w:tc>
        <w:tc>
          <w:p>
            <w:pPr>
              <w:pStyle w:val="Compact"/>
              <w:jc w:val="right"/>
            </w:pPr>
            <w:r>
              <w:t xml:space="preserve">65.6</w:t>
            </w:r>
          </w:p>
        </w:tc>
        <w:tc>
          <w:p>
            <w:pPr>
              <w:pStyle w:val="Compact"/>
              <w:jc w:val="right"/>
            </w:pPr>
            <w:r>
              <w:t xml:space="preserve">15.4</w:t>
            </w:r>
          </w:p>
        </w:tc>
        <w:tc>
          <w:p>
            <w:pPr>
              <w:pStyle w:val="Compact"/>
              <w:jc w:val="right"/>
            </w:pPr>
            <w:r>
              <w:t xml:space="preserve">19.0</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0.41 (0.178, 5.6)</w:t>
            </w:r>
          </w:p>
        </w:tc>
        <w:tc>
          <w:p>
            <w:pPr>
              <w:pStyle w:val="Compact"/>
              <w:jc w:val="right"/>
            </w:pPr>
            <w:r>
              <w:t xml:space="preserve">430</w:t>
            </w:r>
          </w:p>
        </w:tc>
        <w:tc>
          <w:p>
            <w:pPr>
              <w:pStyle w:val="Compact"/>
              <w:jc w:val="right"/>
            </w:pPr>
            <w:r>
              <w:t xml:space="preserve">58.4</w:t>
            </w:r>
          </w:p>
        </w:tc>
        <w:tc>
          <w:p>
            <w:pPr>
              <w:pStyle w:val="Compact"/>
              <w:jc w:val="right"/>
            </w:pPr>
            <w:r>
              <w:t xml:space="preserve">37.2</w:t>
            </w:r>
          </w:p>
        </w:tc>
        <w:tc>
          <w:p>
            <w:pPr>
              <w:pStyle w:val="Compact"/>
              <w:jc w:val="right"/>
            </w:pPr>
            <w:r>
              <w:t xml:space="preserve">4.4</w:t>
            </w:r>
          </w:p>
        </w:tc>
        <w:tc>
          <w:p>
            <w:pPr>
              <w:pStyle w:val="Compact"/>
              <w:jc w:val="right"/>
            </w:pPr>
            <w:r>
              <w:t xml:space="preserve">4.0</w:t>
            </w:r>
          </w:p>
        </w:tc>
      </w:tr>
      <w:tr>
        <w:tc>
          <w:p/>
        </w:tc>
        <w:tc>
          <w:p>
            <w:pPr>
              <w:pStyle w:val="Compact"/>
              <w:jc w:val="left"/>
            </w:pPr>
            <w:r>
              <w:t xml:space="preserve">TP (mg/L)</w:t>
            </w:r>
          </w:p>
        </w:tc>
        <w:tc>
          <w:p>
            <w:pPr>
              <w:pStyle w:val="Compact"/>
              <w:jc w:val="left"/>
            </w:pPr>
            <w:r>
              <w:t xml:space="preserve">0.12 (0.019, 3.9)</w:t>
            </w:r>
          </w:p>
        </w:tc>
        <w:tc>
          <w:p>
            <w:pPr>
              <w:pStyle w:val="Compact"/>
              <w:jc w:val="right"/>
            </w:pPr>
            <w:r>
              <w:t xml:space="preserve">485</w:t>
            </w:r>
          </w:p>
        </w:tc>
        <w:tc>
          <w:p>
            <w:pPr>
              <w:pStyle w:val="Compact"/>
              <w:jc w:val="right"/>
            </w:pPr>
            <w:r>
              <w:t xml:space="preserve">81.0</w:t>
            </w:r>
          </w:p>
        </w:tc>
        <w:tc>
          <w:p>
            <w:pPr>
              <w:pStyle w:val="Compact"/>
              <w:jc w:val="right"/>
            </w:pPr>
            <w:r>
              <w:t xml:space="preserve">15.1</w:t>
            </w:r>
          </w:p>
        </w:tc>
        <w:tc>
          <w:p>
            <w:pPr>
              <w:pStyle w:val="Compact"/>
              <w:jc w:val="right"/>
            </w:pPr>
            <w:r>
              <w:t xml:space="preserve">3.9</w:t>
            </w:r>
          </w:p>
        </w:tc>
        <w:tc>
          <w:p>
            <w:pPr>
              <w:pStyle w:val="Compact"/>
              <w:jc w:val="right"/>
            </w:pPr>
            <w:r>
              <w:t xml:space="preserve">0.8</w:t>
            </w:r>
          </w:p>
        </w:tc>
      </w:tr>
      <w:tr>
        <w:tc>
          <w:p>
            <w:pPr>
              <w:pStyle w:val="Compact"/>
              <w:jc w:val="left"/>
            </w:pPr>
            <w:r>
              <w:t xml:space="preserve">2</w:t>
            </w:r>
          </w:p>
        </w:tc>
        <w:tc>
          <w:p>
            <w:pPr>
              <w:pStyle w:val="Compact"/>
              <w:jc w:val="left"/>
            </w:pPr>
            <w:r>
              <w:t xml:space="preserve">Chl-a (ug/L)</w:t>
            </w:r>
          </w:p>
        </w:tc>
        <w:tc>
          <w:p>
            <w:pPr>
              <w:pStyle w:val="Compact"/>
              <w:jc w:val="left"/>
            </w:pPr>
            <w:r>
              <w:t xml:space="preserve">2.7 (1.08, 42)</w:t>
            </w:r>
          </w:p>
        </w:tc>
        <w:tc>
          <w:p>
            <w:pPr>
              <w:pStyle w:val="Compact"/>
              <w:jc w:val="right"/>
            </w:pPr>
            <w:r>
              <w:t xml:space="preserve">78</w:t>
            </w:r>
          </w:p>
        </w:tc>
        <w:tc>
          <w:p>
            <w:pPr>
              <w:pStyle w:val="Compact"/>
              <w:jc w:val="right"/>
            </w:pPr>
            <w:r>
              <w:t xml:space="preserve">60.3</w:t>
            </w:r>
          </w:p>
        </w:tc>
        <w:tc>
          <w:p>
            <w:pPr>
              <w:pStyle w:val="Compact"/>
              <w:jc w:val="right"/>
            </w:pPr>
            <w:r>
              <w:t xml:space="preserve">6.4</w:t>
            </w:r>
          </w:p>
        </w:tc>
        <w:tc>
          <w:p>
            <w:pPr>
              <w:pStyle w:val="Compact"/>
              <w:jc w:val="right"/>
            </w:pPr>
            <w:r>
              <w:t xml:space="preserve">33.3</w:t>
            </w:r>
          </w:p>
        </w:tc>
        <w:tc>
          <w:p>
            <w:pPr>
              <w:pStyle w:val="Compact"/>
              <w:jc w:val="right"/>
            </w:pPr>
            <w:r>
              <w:t xml:space="preserve">0.0</w:t>
            </w:r>
          </w:p>
        </w:tc>
      </w:tr>
      <w:tr>
        <w:tc>
          <w:p/>
        </w:tc>
        <w:tc>
          <w:p>
            <w:pPr>
              <w:pStyle w:val="Compact"/>
              <w:jc w:val="left"/>
            </w:pPr>
            <w:r>
              <w:t xml:space="preserve">DO (% sat.)</w:t>
            </w:r>
          </w:p>
        </w:tc>
        <w:tc>
          <w:p>
            <w:pPr>
              <w:pStyle w:val="Compact"/>
              <w:jc w:val="left"/>
            </w:pPr>
            <w:r>
              <w:t xml:space="preserve">95 (60.6, 153.3)</w:t>
            </w:r>
          </w:p>
        </w:tc>
        <w:tc>
          <w:p>
            <w:pPr>
              <w:pStyle w:val="Compact"/>
              <w:jc w:val="right"/>
            </w:pPr>
            <w:r>
              <w:t xml:space="preserve">73</w:t>
            </w:r>
          </w:p>
        </w:tc>
        <w:tc>
          <w:p>
            <w:pPr>
              <w:pStyle w:val="Compact"/>
              <w:jc w:val="right"/>
            </w:pPr>
            <w:r>
              <w:t xml:space="preserve">42.5</w:t>
            </w:r>
          </w:p>
        </w:tc>
        <w:tc>
          <w:p>
            <w:pPr>
              <w:pStyle w:val="Compact"/>
              <w:jc w:val="right"/>
            </w:pPr>
            <w:r>
              <w:t xml:space="preserve">43.8</w:t>
            </w:r>
          </w:p>
        </w:tc>
        <w:tc>
          <w:p>
            <w:pPr>
              <w:pStyle w:val="Compact"/>
              <w:jc w:val="right"/>
            </w:pPr>
            <w:r>
              <w:t xml:space="preserve">13.7</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0.004 (0.002, 0.071)</w:t>
            </w:r>
          </w:p>
        </w:tc>
        <w:tc>
          <w:p>
            <w:pPr>
              <w:pStyle w:val="Compact"/>
              <w:jc w:val="right"/>
            </w:pPr>
            <w:r>
              <w:t xml:space="preserve">76</w:t>
            </w:r>
          </w:p>
        </w:tc>
        <w:tc>
          <w:p>
            <w:pPr>
              <w:pStyle w:val="Compact"/>
              <w:jc w:val="right"/>
            </w:pPr>
            <w:r>
              <w:t xml:space="preserve">85.5</w:t>
            </w:r>
          </w:p>
        </w:tc>
        <w:tc>
          <w:p>
            <w:pPr>
              <w:pStyle w:val="Compact"/>
              <w:jc w:val="right"/>
            </w:pPr>
            <w:r>
              <w:t xml:space="preserve">1.3</w:t>
            </w:r>
          </w:p>
        </w:tc>
        <w:tc>
          <w:p>
            <w:pPr>
              <w:pStyle w:val="Compact"/>
              <w:jc w:val="right"/>
            </w:pPr>
            <w:r>
              <w:t xml:space="preserve">13.2</w:t>
            </w:r>
          </w:p>
        </w:tc>
        <w:tc>
          <w:p>
            <w:pPr>
              <w:pStyle w:val="Compact"/>
              <w:jc w:val="right"/>
            </w:pPr>
            <w:r>
              <w:t xml:space="preserve">27.6</w:t>
            </w:r>
          </w:p>
        </w:tc>
      </w:tr>
      <w:tr>
        <w:tc>
          <w:p/>
        </w:tc>
        <w:tc>
          <w:p>
            <w:pPr>
              <w:pStyle w:val="Compact"/>
              <w:jc w:val="left"/>
            </w:pPr>
            <w:r>
              <w:t xml:space="preserve">Nitrate/Nitrite (mg/L)</w:t>
            </w:r>
          </w:p>
        </w:tc>
        <w:tc>
          <w:p>
            <w:pPr>
              <w:pStyle w:val="Compact"/>
              <w:jc w:val="left"/>
            </w:pPr>
            <w:r>
              <w:t xml:space="preserve">- (0.00078, 0.037)</w:t>
            </w:r>
          </w:p>
        </w:tc>
        <w:tc>
          <w:p>
            <w:pPr>
              <w:pStyle w:val="Compact"/>
              <w:jc w:val="right"/>
            </w:pPr>
            <w:r>
              <w:t xml:space="preserve">87</w:t>
            </w:r>
          </w:p>
        </w:tc>
        <w:tc>
          <w:p>
            <w:pPr>
              <w:pStyle w:val="Compact"/>
              <w:jc w:val="right"/>
            </w:pPr>
            <w:r>
              <w:t xml:space="preserve">63.2</w:t>
            </w:r>
          </w:p>
        </w:tc>
        <w:tc>
          <w:p>
            <w:pPr>
              <w:pStyle w:val="Compact"/>
              <w:jc w:val="right"/>
            </w:pPr>
            <w:r>
              <w:t xml:space="preserve">18.4</w:t>
            </w:r>
          </w:p>
        </w:tc>
        <w:tc>
          <w:p>
            <w:pPr>
              <w:pStyle w:val="Compact"/>
              <w:jc w:val="right"/>
            </w:pPr>
            <w:r>
              <w:t xml:space="preserve">18.4</w:t>
            </w:r>
          </w:p>
        </w:tc>
        <w:tc>
          <w:p>
            <w:pPr>
              <w:pStyle w:val="Compact"/>
              <w:jc w:val="right"/>
            </w:pPr>
            <w:r>
              <w:t xml:space="preserve">80.5</w:t>
            </w:r>
          </w:p>
        </w:tc>
      </w:tr>
      <w:tr>
        <w:tc>
          <w:p/>
        </w:tc>
        <w:tc>
          <w:p>
            <w:pPr>
              <w:pStyle w:val="Compact"/>
              <w:jc w:val="left"/>
            </w:pPr>
            <w:r>
              <w:t xml:space="preserve">pH</w:t>
            </w:r>
          </w:p>
        </w:tc>
        <w:tc>
          <w:p>
            <w:pPr>
              <w:pStyle w:val="Compact"/>
              <w:jc w:val="left"/>
            </w:pPr>
            <w:r>
              <w:t xml:space="preserve">8 (7.3, 8.6)</w:t>
            </w:r>
          </w:p>
        </w:tc>
        <w:tc>
          <w:p>
            <w:pPr>
              <w:pStyle w:val="Compact"/>
              <w:jc w:val="right"/>
            </w:pPr>
            <w:r>
              <w:t xml:space="preserve">92</w:t>
            </w:r>
          </w:p>
        </w:tc>
        <w:tc>
          <w:p>
            <w:pPr>
              <w:pStyle w:val="Compact"/>
              <w:jc w:val="right"/>
            </w:pPr>
            <w:r>
              <w:t xml:space="preserve">71.7</w:t>
            </w:r>
          </w:p>
        </w:tc>
        <w:tc>
          <w:p>
            <w:pPr>
              <w:pStyle w:val="Compact"/>
              <w:jc w:val="right"/>
            </w:pPr>
            <w:r>
              <w:t xml:space="preserve">16.3</w:t>
            </w:r>
          </w:p>
        </w:tc>
        <w:tc>
          <w:p>
            <w:pPr>
              <w:pStyle w:val="Compact"/>
              <w:jc w:val="right"/>
            </w:pPr>
            <w:r>
              <w:t xml:space="preserve">12.0</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27.3 (18.1, 32.3)</w:t>
            </w:r>
          </w:p>
        </w:tc>
        <w:tc>
          <w:p>
            <w:pPr>
              <w:pStyle w:val="Compact"/>
              <w:jc w:val="right"/>
            </w:pPr>
            <w:r>
              <w:t xml:space="preserve">73</w:t>
            </w:r>
          </w:p>
        </w:tc>
        <w:tc>
          <w:p>
            <w:pPr>
              <w:pStyle w:val="Compact"/>
              <w:jc w:val="right"/>
            </w:pPr>
            <w:r>
              <w:t xml:space="preserve">90.4</w:t>
            </w:r>
          </w:p>
        </w:tc>
        <w:tc>
          <w:p>
            <w:pPr>
              <w:pStyle w:val="Compact"/>
              <w:jc w:val="right"/>
            </w:pPr>
            <w:r>
              <w:t xml:space="preserve">0.0</w:t>
            </w:r>
          </w:p>
        </w:tc>
        <w:tc>
          <w:p>
            <w:pPr>
              <w:pStyle w:val="Compact"/>
              <w:jc w:val="right"/>
            </w:pPr>
            <w:r>
              <w:t xml:space="preserve">9.6</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2 (0.5, 3.5)</w:t>
            </w:r>
          </w:p>
        </w:tc>
        <w:tc>
          <w:p>
            <w:pPr>
              <w:pStyle w:val="Compact"/>
              <w:jc w:val="right"/>
            </w:pPr>
            <w:r>
              <w:t xml:space="preserve">27</w:t>
            </w:r>
          </w:p>
        </w:tc>
        <w:tc>
          <w:p>
            <w:pPr>
              <w:pStyle w:val="Compact"/>
              <w:jc w:val="right"/>
            </w:pPr>
            <w:r>
              <w:t xml:space="preserve">51.9</w:t>
            </w:r>
          </w:p>
        </w:tc>
        <w:tc>
          <w:p>
            <w:pPr>
              <w:pStyle w:val="Compact"/>
              <w:jc w:val="right"/>
            </w:pPr>
            <w:r>
              <w:t xml:space="preserve">29.6</w:t>
            </w:r>
          </w:p>
        </w:tc>
        <w:tc>
          <w:p>
            <w:pPr>
              <w:pStyle w:val="Compact"/>
              <w:jc w:val="right"/>
            </w:pPr>
            <w:r>
              <w:t xml:space="preserve">18.5</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25.3 (19.9, 31.6)</w:t>
            </w:r>
          </w:p>
        </w:tc>
        <w:tc>
          <w:p>
            <w:pPr>
              <w:pStyle w:val="Compact"/>
              <w:jc w:val="right"/>
            </w:pPr>
            <w:r>
              <w:t xml:space="preserve">73</w:t>
            </w:r>
          </w:p>
        </w:tc>
        <w:tc>
          <w:p>
            <w:pPr>
              <w:pStyle w:val="Compact"/>
              <w:jc w:val="right"/>
            </w:pPr>
            <w:r>
              <w:t xml:space="preserve">72.6</w:t>
            </w:r>
          </w:p>
        </w:tc>
        <w:tc>
          <w:p>
            <w:pPr>
              <w:pStyle w:val="Compact"/>
              <w:jc w:val="right"/>
            </w:pPr>
            <w:r>
              <w:t xml:space="preserve">6.8</w:t>
            </w:r>
          </w:p>
        </w:tc>
        <w:tc>
          <w:p>
            <w:pPr>
              <w:pStyle w:val="Compact"/>
              <w:jc w:val="right"/>
            </w:pPr>
            <w:r>
              <w:t xml:space="preserve">20.5</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0.344 (0.068, 1.13)</w:t>
            </w:r>
          </w:p>
        </w:tc>
        <w:tc>
          <w:p>
            <w:pPr>
              <w:pStyle w:val="Compact"/>
              <w:jc w:val="right"/>
            </w:pPr>
            <w:r>
              <w:t xml:space="preserve">63</w:t>
            </w:r>
          </w:p>
        </w:tc>
        <w:tc>
          <w:p>
            <w:pPr>
              <w:pStyle w:val="Compact"/>
              <w:jc w:val="right"/>
            </w:pPr>
            <w:r>
              <w:t xml:space="preserve">65.1</w:t>
            </w:r>
          </w:p>
        </w:tc>
        <w:tc>
          <w:p>
            <w:pPr>
              <w:pStyle w:val="Compact"/>
              <w:jc w:val="right"/>
            </w:pPr>
            <w:r>
              <w:t xml:space="preserve">22.2</w:t>
            </w:r>
          </w:p>
        </w:tc>
        <w:tc>
          <w:p>
            <w:pPr>
              <w:pStyle w:val="Compact"/>
              <w:jc w:val="right"/>
            </w:pPr>
            <w:r>
              <w:t xml:space="preserve">12.7</w:t>
            </w:r>
          </w:p>
        </w:tc>
        <w:tc>
          <w:p>
            <w:pPr>
              <w:pStyle w:val="Compact"/>
              <w:jc w:val="right"/>
            </w:pPr>
            <w:r>
              <w:t xml:space="preserve">14.3</w:t>
            </w:r>
          </w:p>
        </w:tc>
      </w:tr>
      <w:tr>
        <w:tc>
          <w:p/>
        </w:tc>
        <w:tc>
          <w:p>
            <w:pPr>
              <w:pStyle w:val="Compact"/>
              <w:jc w:val="left"/>
            </w:pPr>
            <w:r>
              <w:t xml:space="preserve">TP (mg/L)</w:t>
            </w:r>
          </w:p>
        </w:tc>
        <w:tc>
          <w:p>
            <w:pPr>
              <w:pStyle w:val="Compact"/>
              <w:jc w:val="left"/>
            </w:pPr>
            <w:r>
              <w:t xml:space="preserve">0.1 (0.05, 0.235)</w:t>
            </w:r>
          </w:p>
        </w:tc>
        <w:tc>
          <w:p>
            <w:pPr>
              <w:pStyle w:val="Compact"/>
              <w:jc w:val="right"/>
            </w:pPr>
            <w:r>
              <w:t xml:space="preserve">67</w:t>
            </w:r>
          </w:p>
        </w:tc>
        <w:tc>
          <w:p>
            <w:pPr>
              <w:pStyle w:val="Compact"/>
              <w:jc w:val="right"/>
            </w:pPr>
            <w:r>
              <w:t xml:space="preserve">59.7</w:t>
            </w:r>
          </w:p>
        </w:tc>
        <w:tc>
          <w:p>
            <w:pPr>
              <w:pStyle w:val="Compact"/>
              <w:jc w:val="right"/>
            </w:pPr>
            <w:r>
              <w:t xml:space="preserve">11.9</w:t>
            </w:r>
          </w:p>
        </w:tc>
        <w:tc>
          <w:p>
            <w:pPr>
              <w:pStyle w:val="Compact"/>
              <w:jc w:val="right"/>
            </w:pPr>
            <w:r>
              <w:t xml:space="preserve">28.4</w:t>
            </w:r>
          </w:p>
        </w:tc>
        <w:tc>
          <w:p>
            <w:pPr>
              <w:pStyle w:val="Compact"/>
              <w:jc w:val="right"/>
            </w:pPr>
            <w:r>
              <w:t xml:space="preserve">0.0</w:t>
            </w:r>
          </w:p>
        </w:tc>
      </w:tr>
      <w:tr>
        <w:tc>
          <w:p>
            <w:pPr>
              <w:pStyle w:val="Compact"/>
              <w:jc w:val="left"/>
            </w:pPr>
            <w:r>
              <w:t xml:space="preserve">3</w:t>
            </w:r>
          </w:p>
        </w:tc>
        <w:tc>
          <w:p>
            <w:pPr>
              <w:pStyle w:val="Compact"/>
              <w:jc w:val="left"/>
            </w:pPr>
            <w:r>
              <w:t xml:space="preserve">Chl-a (ug/L)</w:t>
            </w:r>
          </w:p>
        </w:tc>
        <w:tc>
          <w:p>
            <w:pPr>
              <w:pStyle w:val="Compact"/>
              <w:jc w:val="left"/>
            </w:pPr>
            <w:r>
              <w:t xml:space="preserve">2.9 (0.93, 25.9)</w:t>
            </w:r>
          </w:p>
        </w:tc>
        <w:tc>
          <w:p>
            <w:pPr>
              <w:pStyle w:val="Compact"/>
              <w:jc w:val="right"/>
            </w:pPr>
            <w:r>
              <w:t xml:space="preserve">254</w:t>
            </w:r>
          </w:p>
        </w:tc>
        <w:tc>
          <w:p>
            <w:pPr>
              <w:pStyle w:val="Compact"/>
              <w:jc w:val="right"/>
            </w:pPr>
            <w:r>
              <w:t xml:space="preserve">68.9</w:t>
            </w:r>
          </w:p>
        </w:tc>
        <w:tc>
          <w:p>
            <w:pPr>
              <w:pStyle w:val="Compact"/>
              <w:jc w:val="right"/>
            </w:pPr>
            <w:r>
              <w:t xml:space="preserve">22.4</w:t>
            </w:r>
          </w:p>
        </w:tc>
        <w:tc>
          <w:p>
            <w:pPr>
              <w:pStyle w:val="Compact"/>
              <w:jc w:val="right"/>
            </w:pPr>
            <w:r>
              <w:t xml:space="preserve">8.7</w:t>
            </w:r>
          </w:p>
        </w:tc>
        <w:tc>
          <w:p>
            <w:pPr>
              <w:pStyle w:val="Compact"/>
              <w:jc w:val="right"/>
            </w:pPr>
            <w:r>
              <w:t xml:space="preserve">0.4</w:t>
            </w:r>
          </w:p>
        </w:tc>
      </w:tr>
      <w:tr>
        <w:tc>
          <w:p/>
        </w:tc>
        <w:tc>
          <w:p>
            <w:pPr>
              <w:pStyle w:val="Compact"/>
              <w:jc w:val="left"/>
            </w:pPr>
            <w:r>
              <w:t xml:space="preserve">DO (% sat.)</w:t>
            </w:r>
          </w:p>
        </w:tc>
        <w:tc>
          <w:p>
            <w:pPr>
              <w:pStyle w:val="Compact"/>
              <w:jc w:val="left"/>
            </w:pPr>
            <w:r>
              <w:t xml:space="preserve">98.7 (42.4, 229.9)</w:t>
            </w:r>
          </w:p>
        </w:tc>
        <w:tc>
          <w:p>
            <w:pPr>
              <w:pStyle w:val="Compact"/>
              <w:jc w:val="right"/>
            </w:pPr>
            <w:r>
              <w:t xml:space="preserve">223</w:t>
            </w:r>
          </w:p>
        </w:tc>
        <w:tc>
          <w:p>
            <w:pPr>
              <w:pStyle w:val="Compact"/>
              <w:jc w:val="right"/>
            </w:pPr>
            <w:r>
              <w:t xml:space="preserve">52.9</w:t>
            </w:r>
          </w:p>
        </w:tc>
        <w:tc>
          <w:p>
            <w:pPr>
              <w:pStyle w:val="Compact"/>
              <w:jc w:val="right"/>
            </w:pPr>
            <w:r>
              <w:t xml:space="preserve">26.5</w:t>
            </w:r>
          </w:p>
        </w:tc>
        <w:tc>
          <w:p>
            <w:pPr>
              <w:pStyle w:val="Compact"/>
              <w:jc w:val="right"/>
            </w:pPr>
            <w:r>
              <w:t xml:space="preserve">20.6</w:t>
            </w:r>
          </w:p>
        </w:tc>
        <w:tc>
          <w:p>
            <w:pPr>
              <w:pStyle w:val="Compact"/>
              <w:jc w:val="right"/>
            </w:pPr>
            <w:r>
              <w:t xml:space="preserve">0.0</w:t>
            </w:r>
          </w:p>
        </w:tc>
      </w:tr>
      <w:tr>
        <w:tc>
          <w:p/>
        </w:tc>
        <w:tc>
          <w:p>
            <w:pPr>
              <w:pStyle w:val="Compact"/>
              <w:jc w:val="left"/>
            </w:pPr>
            <w:r>
              <w:t xml:space="preserve">NH3, NH4+ (mg/L)</w:t>
            </w:r>
          </w:p>
        </w:tc>
        <w:tc>
          <w:p>
            <w:pPr>
              <w:pStyle w:val="Compact"/>
              <w:jc w:val="left"/>
            </w:pPr>
            <w:r>
              <w:t xml:space="preserve">0.003 (0.002, 0.041)</w:t>
            </w:r>
          </w:p>
        </w:tc>
        <w:tc>
          <w:p>
            <w:pPr>
              <w:pStyle w:val="Compact"/>
              <w:jc w:val="right"/>
            </w:pPr>
            <w:r>
              <w:t xml:space="preserve">248</w:t>
            </w:r>
          </w:p>
        </w:tc>
        <w:tc>
          <w:p>
            <w:pPr>
              <w:pStyle w:val="Compact"/>
              <w:jc w:val="right"/>
            </w:pPr>
            <w:r>
              <w:t xml:space="preserve">54.8</w:t>
            </w:r>
          </w:p>
        </w:tc>
        <w:tc>
          <w:p>
            <w:pPr>
              <w:pStyle w:val="Compact"/>
              <w:jc w:val="right"/>
            </w:pPr>
            <w:r>
              <w:t xml:space="preserve">0.0</w:t>
            </w:r>
          </w:p>
        </w:tc>
        <w:tc>
          <w:p>
            <w:pPr>
              <w:pStyle w:val="Compact"/>
              <w:jc w:val="right"/>
            </w:pPr>
            <w:r>
              <w:t xml:space="preserve">45.2</w:t>
            </w:r>
          </w:p>
        </w:tc>
        <w:tc>
          <w:p>
            <w:pPr>
              <w:pStyle w:val="Compact"/>
              <w:jc w:val="right"/>
            </w:pPr>
            <w:r>
              <w:t xml:space="preserve">54.8</w:t>
            </w:r>
          </w:p>
        </w:tc>
      </w:tr>
      <w:tr>
        <w:tc>
          <w:p/>
        </w:tc>
        <w:tc>
          <w:p>
            <w:pPr>
              <w:pStyle w:val="Compact"/>
              <w:jc w:val="left"/>
            </w:pPr>
            <w:r>
              <w:t xml:space="preserve">Nitrate/Nitrite (mg/L)</w:t>
            </w:r>
          </w:p>
        </w:tc>
        <w:tc>
          <w:p>
            <w:pPr>
              <w:pStyle w:val="Compact"/>
              <w:jc w:val="left"/>
            </w:pPr>
            <w:r>
              <w:t xml:space="preserve">- (0.00078, 0.046)</w:t>
            </w:r>
          </w:p>
        </w:tc>
        <w:tc>
          <w:p>
            <w:pPr>
              <w:pStyle w:val="Compact"/>
              <w:jc w:val="right"/>
            </w:pPr>
            <w:r>
              <w:t xml:space="preserve">267</w:t>
            </w:r>
          </w:p>
        </w:tc>
        <w:tc>
          <w:p>
            <w:pPr>
              <w:pStyle w:val="Compact"/>
              <w:jc w:val="right"/>
            </w:pPr>
            <w:r>
              <w:t xml:space="preserve">59.9</w:t>
            </w:r>
          </w:p>
        </w:tc>
        <w:tc>
          <w:p>
            <w:pPr>
              <w:pStyle w:val="Compact"/>
              <w:jc w:val="right"/>
            </w:pPr>
            <w:r>
              <w:t xml:space="preserve">9.4</w:t>
            </w:r>
          </w:p>
        </w:tc>
        <w:tc>
          <w:p>
            <w:pPr>
              <w:pStyle w:val="Compact"/>
              <w:jc w:val="right"/>
            </w:pPr>
            <w:r>
              <w:t xml:space="preserve">30.7</w:t>
            </w:r>
          </w:p>
        </w:tc>
        <w:tc>
          <w:p>
            <w:pPr>
              <w:pStyle w:val="Compact"/>
              <w:jc w:val="right"/>
            </w:pPr>
            <w:r>
              <w:t xml:space="preserve">92.9</w:t>
            </w:r>
          </w:p>
        </w:tc>
      </w:tr>
      <w:tr>
        <w:tc>
          <w:p/>
        </w:tc>
        <w:tc>
          <w:p>
            <w:pPr>
              <w:pStyle w:val="Compact"/>
              <w:jc w:val="left"/>
            </w:pPr>
            <w:r>
              <w:t xml:space="preserve">pH</w:t>
            </w:r>
          </w:p>
        </w:tc>
        <w:tc>
          <w:p>
            <w:pPr>
              <w:pStyle w:val="Compact"/>
              <w:jc w:val="left"/>
            </w:pPr>
            <w:r>
              <w:t xml:space="preserve">8.1 (6.2, 14.4)</w:t>
            </w:r>
          </w:p>
        </w:tc>
        <w:tc>
          <w:p>
            <w:pPr>
              <w:pStyle w:val="Compact"/>
              <w:jc w:val="right"/>
            </w:pPr>
            <w:r>
              <w:t xml:space="preserve">246</w:t>
            </w:r>
          </w:p>
        </w:tc>
        <w:tc>
          <w:p>
            <w:pPr>
              <w:pStyle w:val="Compact"/>
              <w:jc w:val="right"/>
            </w:pPr>
            <w:r>
              <w:t xml:space="preserve">69.5</w:t>
            </w:r>
          </w:p>
        </w:tc>
        <w:tc>
          <w:p>
            <w:pPr>
              <w:pStyle w:val="Compact"/>
              <w:jc w:val="right"/>
            </w:pPr>
            <w:r>
              <w:t xml:space="preserve">21.1</w:t>
            </w:r>
          </w:p>
        </w:tc>
        <w:tc>
          <w:p>
            <w:pPr>
              <w:pStyle w:val="Compact"/>
              <w:jc w:val="right"/>
            </w:pPr>
            <w:r>
              <w:t xml:space="preserve">9.3</w:t>
            </w:r>
          </w:p>
        </w:tc>
        <w:tc>
          <w:p>
            <w:pPr>
              <w:pStyle w:val="Compact"/>
              <w:jc w:val="right"/>
            </w:pPr>
            <w:r>
              <w:t xml:space="preserve">0.0</w:t>
            </w:r>
          </w:p>
        </w:tc>
      </w:tr>
      <w:tr>
        <w:tc>
          <w:p/>
        </w:tc>
        <w:tc>
          <w:p>
            <w:pPr>
              <w:pStyle w:val="Compact"/>
              <w:jc w:val="left"/>
            </w:pPr>
            <w:r>
              <w:t xml:space="preserve">Sal (ppt)</w:t>
            </w:r>
          </w:p>
        </w:tc>
        <w:tc>
          <w:p>
            <w:pPr>
              <w:pStyle w:val="Compact"/>
              <w:jc w:val="left"/>
            </w:pPr>
            <w:r>
              <w:t xml:space="preserve">31.8 (1.4, 36.5)</w:t>
            </w:r>
          </w:p>
        </w:tc>
        <w:tc>
          <w:p>
            <w:pPr>
              <w:pStyle w:val="Compact"/>
              <w:jc w:val="right"/>
            </w:pPr>
            <w:r>
              <w:t xml:space="preserve">294</w:t>
            </w:r>
          </w:p>
        </w:tc>
        <w:tc>
          <w:p>
            <w:pPr>
              <w:pStyle w:val="Compact"/>
              <w:jc w:val="right"/>
            </w:pPr>
            <w:r>
              <w:t xml:space="preserve">81.0</w:t>
            </w:r>
          </w:p>
        </w:tc>
        <w:tc>
          <w:p>
            <w:pPr>
              <w:pStyle w:val="Compact"/>
              <w:jc w:val="right"/>
            </w:pPr>
            <w:r>
              <w:t xml:space="preserve">7.8</w:t>
            </w:r>
          </w:p>
        </w:tc>
        <w:tc>
          <w:p>
            <w:pPr>
              <w:pStyle w:val="Compact"/>
              <w:jc w:val="right"/>
            </w:pPr>
            <w:r>
              <w:t xml:space="preserve">11.2</w:t>
            </w:r>
          </w:p>
        </w:tc>
        <w:tc>
          <w:p>
            <w:pPr>
              <w:pStyle w:val="Compact"/>
              <w:jc w:val="right"/>
            </w:pPr>
            <w:r>
              <w:t xml:space="preserve">0.0</w:t>
            </w:r>
          </w:p>
        </w:tc>
      </w:tr>
      <w:tr>
        <w:tc>
          <w:p/>
        </w:tc>
        <w:tc>
          <w:p>
            <w:pPr>
              <w:pStyle w:val="Compact"/>
              <w:jc w:val="left"/>
            </w:pPr>
            <w:r>
              <w:t xml:space="preserve">Secchi (m)</w:t>
            </w:r>
          </w:p>
        </w:tc>
        <w:tc>
          <w:p>
            <w:pPr>
              <w:pStyle w:val="Compact"/>
              <w:jc w:val="left"/>
            </w:pPr>
            <w:r>
              <w:t xml:space="preserve">1.9 (0.2, 5.1)</w:t>
            </w:r>
          </w:p>
        </w:tc>
        <w:tc>
          <w:p>
            <w:pPr>
              <w:pStyle w:val="Compact"/>
              <w:jc w:val="right"/>
            </w:pPr>
            <w:r>
              <w:t xml:space="preserve">200</w:t>
            </w:r>
          </w:p>
        </w:tc>
        <w:tc>
          <w:p>
            <w:pPr>
              <w:pStyle w:val="Compact"/>
              <w:jc w:val="right"/>
            </w:pPr>
            <w:r>
              <w:t xml:space="preserve">48.5</w:t>
            </w:r>
          </w:p>
        </w:tc>
        <w:tc>
          <w:p>
            <w:pPr>
              <w:pStyle w:val="Compact"/>
              <w:jc w:val="right"/>
            </w:pPr>
            <w:r>
              <w:t xml:space="preserve">16.5</w:t>
            </w:r>
          </w:p>
        </w:tc>
        <w:tc>
          <w:p>
            <w:pPr>
              <w:pStyle w:val="Compact"/>
              <w:jc w:val="right"/>
            </w:pPr>
            <w:r>
              <w:t xml:space="preserve">35.0</w:t>
            </w:r>
          </w:p>
        </w:tc>
        <w:tc>
          <w:p>
            <w:pPr>
              <w:pStyle w:val="Compact"/>
              <w:jc w:val="right"/>
            </w:pPr>
            <w:r>
              <w:t xml:space="preserve">0.0</w:t>
            </w:r>
          </w:p>
        </w:tc>
      </w:tr>
      <w:tr>
        <w:tc>
          <w:p/>
        </w:tc>
        <w:tc>
          <w:p>
            <w:pPr>
              <w:pStyle w:val="Compact"/>
              <w:jc w:val="left"/>
            </w:pPr>
            <w:r>
              <w:t xml:space="preserve">Temp (C)</w:t>
            </w:r>
          </w:p>
        </w:tc>
        <w:tc>
          <w:p>
            <w:pPr>
              <w:pStyle w:val="Compact"/>
              <w:jc w:val="left"/>
            </w:pPr>
            <w:r>
              <w:t xml:space="preserve">27 (19.6, 32.1)</w:t>
            </w:r>
          </w:p>
        </w:tc>
        <w:tc>
          <w:p>
            <w:pPr>
              <w:pStyle w:val="Compact"/>
              <w:jc w:val="right"/>
            </w:pPr>
            <w:r>
              <w:t xml:space="preserve">294</w:t>
            </w:r>
          </w:p>
        </w:tc>
        <w:tc>
          <w:p>
            <w:pPr>
              <w:pStyle w:val="Compact"/>
              <w:jc w:val="right"/>
            </w:pPr>
            <w:r>
              <w:t xml:space="preserve">63.6</w:t>
            </w:r>
          </w:p>
        </w:tc>
        <w:tc>
          <w:p>
            <w:pPr>
              <w:pStyle w:val="Compact"/>
              <w:jc w:val="right"/>
            </w:pPr>
            <w:r>
              <w:t xml:space="preserve">12.6</w:t>
            </w:r>
          </w:p>
        </w:tc>
        <w:tc>
          <w:p>
            <w:pPr>
              <w:pStyle w:val="Compact"/>
              <w:jc w:val="right"/>
            </w:pPr>
            <w:r>
              <w:t xml:space="preserve">23.8</w:t>
            </w:r>
          </w:p>
        </w:tc>
        <w:tc>
          <w:p>
            <w:pPr>
              <w:pStyle w:val="Compact"/>
              <w:jc w:val="right"/>
            </w:pPr>
            <w:r>
              <w:t xml:space="preserve">0.0</w:t>
            </w:r>
          </w:p>
        </w:tc>
      </w:tr>
      <w:tr>
        <w:tc>
          <w:p/>
        </w:tc>
        <w:tc>
          <w:p>
            <w:pPr>
              <w:pStyle w:val="Compact"/>
              <w:jc w:val="left"/>
            </w:pPr>
            <w:r>
              <w:t xml:space="preserve">TN (mg/L)</w:t>
            </w:r>
          </w:p>
        </w:tc>
        <w:tc>
          <w:p>
            <w:pPr>
              <w:pStyle w:val="Compact"/>
              <w:jc w:val="left"/>
            </w:pPr>
            <w:r>
              <w:t xml:space="preserve">0.33 (0.152, 1.78)</w:t>
            </w:r>
          </w:p>
        </w:tc>
        <w:tc>
          <w:p>
            <w:pPr>
              <w:pStyle w:val="Compact"/>
              <w:jc w:val="right"/>
            </w:pPr>
            <w:r>
              <w:t xml:space="preserve">249</w:t>
            </w:r>
          </w:p>
        </w:tc>
        <w:tc>
          <w:p>
            <w:pPr>
              <w:pStyle w:val="Compact"/>
              <w:jc w:val="right"/>
            </w:pPr>
            <w:r>
              <w:t xml:space="preserve">73.1</w:t>
            </w:r>
          </w:p>
        </w:tc>
        <w:tc>
          <w:p>
            <w:pPr>
              <w:pStyle w:val="Compact"/>
              <w:jc w:val="right"/>
            </w:pPr>
            <w:r>
              <w:t xml:space="preserve">21.7</w:t>
            </w:r>
          </w:p>
        </w:tc>
        <w:tc>
          <w:p>
            <w:pPr>
              <w:pStyle w:val="Compact"/>
              <w:jc w:val="right"/>
            </w:pPr>
            <w:r>
              <w:t xml:space="preserve">5.2</w:t>
            </w:r>
          </w:p>
        </w:tc>
        <w:tc>
          <w:p>
            <w:pPr>
              <w:pStyle w:val="Compact"/>
              <w:jc w:val="right"/>
            </w:pPr>
            <w:r>
              <w:t xml:space="preserve">10.0</w:t>
            </w:r>
          </w:p>
        </w:tc>
      </w:tr>
      <w:tr>
        <w:tc>
          <w:p/>
        </w:tc>
        <w:tc>
          <w:p>
            <w:pPr>
              <w:pStyle w:val="Compact"/>
              <w:jc w:val="left"/>
            </w:pPr>
            <w:r>
              <w:t xml:space="preserve">TP (mg/L)</w:t>
            </w:r>
          </w:p>
        </w:tc>
        <w:tc>
          <w:p>
            <w:pPr>
              <w:pStyle w:val="Compact"/>
              <w:jc w:val="left"/>
            </w:pPr>
            <w:r>
              <w:t xml:space="preserve">0.06 (0.019, 0.589)</w:t>
            </w:r>
          </w:p>
        </w:tc>
        <w:tc>
          <w:p>
            <w:pPr>
              <w:pStyle w:val="Compact"/>
              <w:jc w:val="right"/>
            </w:pPr>
            <w:r>
              <w:t xml:space="preserve">256</w:t>
            </w:r>
          </w:p>
        </w:tc>
        <w:tc>
          <w:p>
            <w:pPr>
              <w:pStyle w:val="Compact"/>
              <w:jc w:val="right"/>
            </w:pPr>
            <w:r>
              <w:t xml:space="preserve">77.7</w:t>
            </w:r>
          </w:p>
        </w:tc>
        <w:tc>
          <w:p>
            <w:pPr>
              <w:pStyle w:val="Compact"/>
              <w:jc w:val="right"/>
            </w:pPr>
            <w:r>
              <w:t xml:space="preserve">10.5</w:t>
            </w:r>
          </w:p>
        </w:tc>
        <w:tc>
          <w:p>
            <w:pPr>
              <w:pStyle w:val="Compact"/>
              <w:jc w:val="right"/>
            </w:pPr>
            <w:r>
              <w:t xml:space="preserve">11.7</w:t>
            </w:r>
          </w:p>
        </w:tc>
        <w:tc>
          <w:p>
            <w:pPr>
              <w:pStyle w:val="Compact"/>
              <w:jc w:val="right"/>
            </w:pPr>
            <w:r>
              <w:t xml:space="preserve">17.6</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w:t>
      </w:r>
      <w:r>
        <w:t xml:space="preserve"> </w:t>
      </w:r>
      <w:hyperlink w:anchor="ref-Holm79">
        <w:r>
          <w:rPr>
            <w:rStyle w:val="Hyperlink"/>
          </w:rPr>
          <w:t xml:space="preserve">Holm</w:t>
        </w:r>
      </w:hyperlink>
      <w:r>
        <w:t xml:space="preserve"> </w:t>
      </w:r>
      <w:r>
        <w:t xml:space="preserve">(</w:t>
      </w:r>
      <w:hyperlink w:anchor="ref-Holm79">
        <w:r>
          <w:rPr>
            <w:rStyle w:val="Hyperlink"/>
          </w:rPr>
          <w:t xml:space="preserve">1979</w:t>
        </w:r>
      </w:hyperlink>
      <w:r>
        <w:t xml:space="preserve">)</w:t>
      </w:r>
      <w:r>
        <w:t xml:space="preserve">. ** p &lt; 0.005, * p &lt; 0.05, blank is not significant at</w:t>
      </w:r>
      <w:r>
        <w:t xml:space="preserve"> </w:t>
      </w:r>
      <m:oMath>
        <m:r>
          <m:t>α</m:t>
        </m:r>
      </m:oMath>
      <w:r>
        <w:t xml:space="preserve"> </w:t>
      </w:r>
      <w:r>
        <w:t xml:space="preserve">= 0.05.</w:t>
      </w:r>
    </w:p>
    <w:tbl>
      <w:tblPr>
        <w:tblStyle w:val="Table"/>
        <w:tblW w:type="pct" w:w="50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a letter within each area and water quality variable combination have concentrations that are not significantly different between month pairs. Probability values were adjusted for the pairwise comparisons using the Bonferroni method in Holm (1979). ** p &lt; 0.005, * p &lt; 0.05, blank is not significant at \alpha = 0.05."/>
      </w:tblPr>
      <w:tblGrid>
        <w:gridCol w:w="400"/>
        <w:gridCol w:w="1840"/>
        <w:gridCol w:w="640"/>
        <w:gridCol w:w="480"/>
        <w:gridCol w:w="480"/>
        <w:gridCol w:w="560"/>
        <w:gridCol w:w="1280"/>
        <w:gridCol w:w="2240"/>
      </w:tblGrid>
      <w:tr>
        <w:tc>
          <w:p>
            <w:pPr>
              <w:pStyle w:val="Compact"/>
              <w:jc w:val="left"/>
            </w:pPr>
            <w:r>
              <w:t xml:space="preserve">Area</w:t>
            </w:r>
          </w:p>
        </w:tc>
        <w:tc>
          <w:p>
            <w:pPr>
              <w:pStyle w:val="Compact"/>
              <w:jc w:val="left"/>
            </w:pPr>
            <w:r>
              <w:t xml:space="preserve">Water quality variable</w:t>
            </w:r>
          </w:p>
        </w:tc>
        <w:tc>
          <w:p>
            <w:pPr>
              <w:pStyle w:val="Compact"/>
              <w:jc w:val="left"/>
            </w:pPr>
            <w:r>
              <w:t xml:space="preserve">Chi-Sq.</w:t>
            </w:r>
          </w:p>
        </w:tc>
        <w:tc>
          <w:p>
            <w:pPr>
              <w:pStyle w:val="Compact"/>
              <w:jc w:val="left"/>
            </w:pPr>
            <w:r>
              <w:t xml:space="preserve">Comp.</w:t>
            </w:r>
          </w:p>
        </w:tc>
        <w:tc>
          <w:p>
            <w:pPr>
              <w:pStyle w:val="Compact"/>
              <w:jc w:val="left"/>
            </w:pPr>
            <w:r>
              <w:t xml:space="preserve">Month</w:t>
            </w:r>
          </w:p>
        </w:tc>
        <w:tc>
          <w:p>
            <w:pPr>
              <w:pStyle w:val="Compact"/>
              <w:jc w:val="right"/>
            </w:pPr>
            <w:r>
              <w:t xml:space="preserve">N obs.</w:t>
            </w:r>
          </w:p>
        </w:tc>
        <w:tc>
          <w:p>
            <w:pPr>
              <w:pStyle w:val="Compact"/>
              <w:jc w:val="right"/>
            </w:pPr>
            <w:r>
              <w:t xml:space="preserve">Observed median</w:t>
            </w:r>
          </w:p>
        </w:tc>
        <w:tc>
          <w:p>
            <w:pPr>
              <w:pStyle w:val="Compact"/>
              <w:jc w:val="right"/>
            </w:pPr>
            <w:r>
              <w:t xml:space="preserve">Seasonally-corrected median</w:t>
            </w:r>
          </w:p>
        </w:tc>
      </w:tr>
      <w:tr>
        <w:tc>
          <w:p>
            <w:pPr>
              <w:pStyle w:val="Compact"/>
              <w:jc w:val="left"/>
            </w:pPr>
            <w:r>
              <w:t xml:space="preserve">1</w:t>
            </w:r>
          </w:p>
        </w:tc>
        <w:tc>
          <w:p>
            <w:pPr>
              <w:pStyle w:val="Compact"/>
              <w:jc w:val="left"/>
            </w:pPr>
            <w:r>
              <w:t xml:space="preserve">TN (mg/L)</w:t>
            </w:r>
          </w:p>
        </w:tc>
        <w:tc>
          <w:p>
            <w:pPr>
              <w:pStyle w:val="Compact"/>
              <w:jc w:val="left"/>
            </w:pPr>
            <w:r>
              <w:t xml:space="preserve">25.01**</w:t>
            </w:r>
          </w:p>
        </w:tc>
        <w:tc>
          <w:p>
            <w:pPr>
              <w:pStyle w:val="Compact"/>
              <w:jc w:val="left"/>
            </w:pPr>
            <w:r>
              <w:t xml:space="preserve">a</w:t>
            </w:r>
          </w:p>
        </w:tc>
        <w:tc>
          <w:p>
            <w:pPr>
              <w:pStyle w:val="Compact"/>
              <w:jc w:val="left"/>
            </w:pPr>
            <w:r>
              <w:t xml:space="preserve">Apr</w:t>
            </w:r>
          </w:p>
        </w:tc>
        <w:tc>
          <w:p>
            <w:pPr>
              <w:pStyle w:val="Compact"/>
              <w:jc w:val="right"/>
            </w:pPr>
            <w:r>
              <w:t xml:space="preserve">135</w:t>
            </w:r>
          </w:p>
        </w:tc>
        <w:tc>
          <w:p>
            <w:pPr>
              <w:pStyle w:val="Compact"/>
              <w:jc w:val="right"/>
            </w:pPr>
            <w:r>
              <w:t xml:space="preserve">0.390</w:t>
            </w:r>
          </w:p>
        </w:tc>
        <w:tc>
          <w:p>
            <w:pPr>
              <w:pStyle w:val="Compact"/>
              <w:jc w:val="right"/>
            </w:pPr>
            <w:r>
              <w:t xml:space="preserve">0.008</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0.360</w:t>
            </w:r>
          </w:p>
        </w:tc>
        <w:tc>
          <w:p>
            <w:pPr>
              <w:pStyle w:val="Compact"/>
              <w:jc w:val="right"/>
            </w:pPr>
            <w:r>
              <w:t xml:space="preserve">0.110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38</w:t>
            </w:r>
          </w:p>
        </w:tc>
        <w:tc>
          <w:p>
            <w:pPr>
              <w:pStyle w:val="Compact"/>
              <w:jc w:val="right"/>
            </w:pPr>
            <w:r>
              <w:t xml:space="preserve">0.430</w:t>
            </w:r>
          </w:p>
        </w:tc>
        <w:tc>
          <w:p>
            <w:pPr>
              <w:pStyle w:val="Compact"/>
              <w:jc w:val="right"/>
            </w:pPr>
            <w:r>
              <w:t xml:space="preserve">0.112</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24</w:t>
            </w:r>
          </w:p>
        </w:tc>
        <w:tc>
          <w:p>
            <w:pPr>
              <w:pStyle w:val="Compact"/>
              <w:jc w:val="right"/>
            </w:pPr>
            <w:r>
              <w:t xml:space="preserve">0.520</w:t>
            </w:r>
          </w:p>
        </w:tc>
        <w:tc>
          <w:p>
            <w:pPr>
              <w:pStyle w:val="Compact"/>
              <w:jc w:val="right"/>
            </w:pPr>
            <w:r>
              <w:t xml:space="preserve">0.178</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25</w:t>
            </w:r>
          </w:p>
        </w:tc>
        <w:tc>
          <w:p>
            <w:pPr>
              <w:pStyle w:val="Compact"/>
              <w:jc w:val="right"/>
            </w:pPr>
            <w:r>
              <w:t xml:space="preserve">0.470</w:t>
            </w:r>
          </w:p>
        </w:tc>
        <w:tc>
          <w:p>
            <w:pPr>
              <w:pStyle w:val="Compact"/>
              <w:jc w:val="right"/>
            </w:pPr>
            <w:r>
              <w:t xml:space="preserve">0.065</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8</w:t>
            </w:r>
          </w:p>
        </w:tc>
        <w:tc>
          <w:p>
            <w:pPr>
              <w:pStyle w:val="Compact"/>
              <w:jc w:val="right"/>
            </w:pPr>
            <w:r>
              <w:t xml:space="preserve">0.390</w:t>
            </w:r>
          </w:p>
        </w:tc>
        <w:tc>
          <w:p>
            <w:pPr>
              <w:pStyle w:val="Compact"/>
              <w:jc w:val="right"/>
            </w:pPr>
            <w:r>
              <w:t xml:space="preserve">0.075</w:t>
            </w:r>
          </w:p>
        </w:tc>
      </w:tr>
      <w:tr>
        <w:tc>
          <w:p/>
        </w:tc>
        <w:tc>
          <w:p>
            <w:pPr>
              <w:pStyle w:val="Compact"/>
              <w:jc w:val="left"/>
            </w:pPr>
            <w:r>
              <w:t xml:space="preserve">Chl-a (ug/L)</w:t>
            </w:r>
          </w:p>
        </w:tc>
        <w:tc>
          <w:p>
            <w:pPr>
              <w:pStyle w:val="Compact"/>
              <w:jc w:val="left"/>
            </w:pPr>
            <w:r>
              <w:t xml:space="preserve">61.84**</w:t>
            </w:r>
          </w:p>
        </w:tc>
        <w:tc>
          <w:p>
            <w:pPr>
              <w:pStyle w:val="Compact"/>
              <w:jc w:val="left"/>
            </w:pPr>
            <w:r>
              <w:t xml:space="preserve">a</w:t>
            </w:r>
          </w:p>
        </w:tc>
        <w:tc>
          <w:p>
            <w:pPr>
              <w:pStyle w:val="Compact"/>
              <w:jc w:val="left"/>
            </w:pPr>
            <w:r>
              <w:t xml:space="preserve">Apr</w:t>
            </w:r>
          </w:p>
        </w:tc>
        <w:tc>
          <w:p>
            <w:pPr>
              <w:pStyle w:val="Compact"/>
              <w:jc w:val="right"/>
            </w:pPr>
            <w:r>
              <w:t xml:space="preserve">144</w:t>
            </w:r>
          </w:p>
        </w:tc>
        <w:tc>
          <w:p>
            <w:pPr>
              <w:pStyle w:val="Compact"/>
              <w:jc w:val="right"/>
            </w:pPr>
            <w:r>
              <w:t xml:space="preserve">3.300</w:t>
            </w:r>
          </w:p>
        </w:tc>
        <w:tc>
          <w:p>
            <w:pPr>
              <w:pStyle w:val="Compact"/>
              <w:jc w:val="right"/>
            </w:pPr>
            <w:r>
              <w:t xml:space="preserve">1.010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32</w:t>
            </w:r>
          </w:p>
        </w:tc>
        <w:tc>
          <w:p>
            <w:pPr>
              <w:pStyle w:val="Compact"/>
              <w:jc w:val="right"/>
            </w:pPr>
            <w:r>
              <w:t xml:space="preserve">2.400</w:t>
            </w:r>
          </w:p>
        </w:tc>
        <w:tc>
          <w:p>
            <w:pPr>
              <w:pStyle w:val="Compact"/>
              <w:jc w:val="right"/>
            </w:pPr>
            <w:r>
              <w:t xml:space="preserve">-0.870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38</w:t>
            </w:r>
          </w:p>
        </w:tc>
        <w:tc>
          <w:p>
            <w:pPr>
              <w:pStyle w:val="Compact"/>
              <w:jc w:val="right"/>
            </w:pPr>
            <w:r>
              <w:t xml:space="preserve">6.600</w:t>
            </w:r>
          </w:p>
        </w:tc>
        <w:tc>
          <w:p>
            <w:pPr>
              <w:pStyle w:val="Compact"/>
              <w:jc w:val="right"/>
            </w:pPr>
            <w:r>
              <w:t xml:space="preserve">1.960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24</w:t>
            </w:r>
          </w:p>
        </w:tc>
        <w:tc>
          <w:p>
            <w:pPr>
              <w:pStyle w:val="Compact"/>
              <w:jc w:val="right"/>
            </w:pPr>
            <w:r>
              <w:t xml:space="preserve">5.600</w:t>
            </w:r>
          </w:p>
        </w:tc>
        <w:tc>
          <w:p>
            <w:pPr>
              <w:pStyle w:val="Compact"/>
              <w:jc w:val="right"/>
            </w:pPr>
            <w:r>
              <w:t xml:space="preserve">0.310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27</w:t>
            </w:r>
          </w:p>
        </w:tc>
        <w:tc>
          <w:p>
            <w:pPr>
              <w:pStyle w:val="Compact"/>
              <w:jc w:val="right"/>
            </w:pPr>
            <w:r>
              <w:t xml:space="preserve">3.300</w:t>
            </w:r>
          </w:p>
        </w:tc>
        <w:tc>
          <w:p>
            <w:pPr>
              <w:pStyle w:val="Compact"/>
              <w:jc w:val="right"/>
            </w:pPr>
            <w:r>
              <w:t xml:space="preserve">-3.590</w:t>
            </w:r>
          </w:p>
        </w:tc>
      </w:tr>
      <w:tr>
        <w:tc>
          <w:p/>
        </w:tc>
        <w:tc>
          <w:p>
            <w:pPr>
              <w:pStyle w:val="Compact"/>
              <w:jc w:val="left"/>
            </w:pPr>
            <w:r>
              <w:t xml:space="preserve">Secchi (m)</w:t>
            </w:r>
          </w:p>
        </w:tc>
        <w:tc>
          <w:p>
            <w:pPr>
              <w:pStyle w:val="Compact"/>
              <w:jc w:val="left"/>
            </w:pPr>
            <w:r>
              <w:t xml:space="preserve">47.47**</w:t>
            </w:r>
          </w:p>
        </w:tc>
        <w:tc>
          <w:p>
            <w:pPr>
              <w:pStyle w:val="Compact"/>
              <w:jc w:val="left"/>
            </w:pPr>
            <w:r>
              <w:t xml:space="preserve">a</w:t>
            </w:r>
          </w:p>
        </w:tc>
        <w:tc>
          <w:p>
            <w:pPr>
              <w:pStyle w:val="Compact"/>
              <w:jc w:val="left"/>
            </w:pPr>
            <w:r>
              <w:t xml:space="preserve">Apr</w:t>
            </w:r>
          </w:p>
        </w:tc>
        <w:tc>
          <w:p>
            <w:pPr>
              <w:pStyle w:val="Compact"/>
              <w:jc w:val="right"/>
            </w:pPr>
            <w:r>
              <w:t xml:space="preserve">118</w:t>
            </w:r>
          </w:p>
        </w:tc>
        <w:tc>
          <w:p>
            <w:pPr>
              <w:pStyle w:val="Compact"/>
              <w:jc w:val="right"/>
            </w:pPr>
            <w:r>
              <w:t xml:space="preserve">2.900</w:t>
            </w:r>
          </w:p>
        </w:tc>
        <w:tc>
          <w:p>
            <w:pPr>
              <w:pStyle w:val="Compact"/>
              <w:jc w:val="right"/>
            </w:pPr>
            <w:r>
              <w:t xml:space="preserve">0.000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28</w:t>
            </w:r>
          </w:p>
        </w:tc>
        <w:tc>
          <w:p>
            <w:pPr>
              <w:pStyle w:val="Compact"/>
              <w:jc w:val="right"/>
            </w:pPr>
            <w:r>
              <w:t xml:space="preserve">3.000</w:t>
            </w:r>
          </w:p>
        </w:tc>
        <w:tc>
          <w:p>
            <w:pPr>
              <w:pStyle w:val="Compact"/>
              <w:jc w:val="right"/>
            </w:pPr>
            <w:r>
              <w:t xml:space="preserve">-0.600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34</w:t>
            </w:r>
          </w:p>
        </w:tc>
        <w:tc>
          <w:p>
            <w:pPr>
              <w:pStyle w:val="Compact"/>
              <w:jc w:val="right"/>
            </w:pPr>
            <w:r>
              <w:t xml:space="preserve">2.000</w:t>
            </w:r>
          </w:p>
        </w:tc>
        <w:tc>
          <w:p>
            <w:pPr>
              <w:pStyle w:val="Compact"/>
              <w:jc w:val="right"/>
            </w:pPr>
            <w:r>
              <w:t xml:space="preserve">-0.900</w:t>
            </w:r>
          </w:p>
        </w:tc>
      </w:tr>
      <w:tr>
        <w:tc>
          <w:p/>
        </w:tc>
        <w:tc>
          <w:p/>
        </w:tc>
        <w:tc>
          <w:p/>
        </w:tc>
        <w:tc>
          <w:p>
            <w:pPr>
              <w:pStyle w:val="Compact"/>
              <w:jc w:val="left"/>
            </w:pPr>
            <w:r>
              <w:t xml:space="preserve">b</w:t>
            </w:r>
          </w:p>
        </w:tc>
        <w:tc>
          <w:p>
            <w:pPr>
              <w:pStyle w:val="Compact"/>
              <w:jc w:val="left"/>
            </w:pPr>
            <w:r>
              <w:t xml:space="preserve">Jul</w:t>
            </w:r>
          </w:p>
        </w:tc>
        <w:tc>
          <w:p>
            <w:pPr>
              <w:pStyle w:val="Compact"/>
              <w:jc w:val="right"/>
            </w:pPr>
            <w:r>
              <w:t xml:space="preserve">18</w:t>
            </w:r>
          </w:p>
        </w:tc>
        <w:tc>
          <w:p>
            <w:pPr>
              <w:pStyle w:val="Compact"/>
              <w:jc w:val="right"/>
            </w:pPr>
            <w:r>
              <w:t xml:space="preserve">2.000</w:t>
            </w:r>
          </w:p>
        </w:tc>
        <w:tc>
          <w:p>
            <w:pPr>
              <w:pStyle w:val="Compact"/>
              <w:jc w:val="right"/>
            </w:pPr>
            <w:r>
              <w:t xml:space="preserve">-0.700</w:t>
            </w:r>
          </w:p>
        </w:tc>
      </w:tr>
      <w:tr>
        <w:tc>
          <w:p/>
        </w:tc>
        <w:tc>
          <w:p/>
        </w:tc>
        <w:tc>
          <w:p/>
        </w:tc>
        <w:tc>
          <w:p>
            <w:pPr>
              <w:pStyle w:val="Compact"/>
              <w:jc w:val="left"/>
            </w:pPr>
            <w:r>
              <w:t xml:space="preserve">c</w:t>
            </w:r>
          </w:p>
        </w:tc>
        <w:tc>
          <w:p>
            <w:pPr>
              <w:pStyle w:val="Compact"/>
              <w:jc w:val="left"/>
            </w:pPr>
            <w:r>
              <w:t xml:space="preserve">Aug</w:t>
            </w:r>
          </w:p>
        </w:tc>
        <w:tc>
          <w:p>
            <w:pPr>
              <w:pStyle w:val="Compact"/>
              <w:jc w:val="right"/>
            </w:pPr>
            <w:r>
              <w:t xml:space="preserve">15</w:t>
            </w:r>
          </w:p>
        </w:tc>
        <w:tc>
          <w:p>
            <w:pPr>
              <w:pStyle w:val="Compact"/>
              <w:jc w:val="right"/>
            </w:pPr>
            <w:r>
              <w:t xml:space="preserve">3.500</w:t>
            </w:r>
          </w:p>
        </w:tc>
        <w:tc>
          <w:p>
            <w:pPr>
              <w:pStyle w:val="Compact"/>
              <w:jc w:val="right"/>
            </w:pPr>
            <w:r>
              <w:t xml:space="preserve">0.400</w:t>
            </w:r>
          </w:p>
        </w:tc>
      </w:tr>
      <w:tr>
        <w:tc>
          <w:p/>
        </w:tc>
        <w:tc>
          <w:p/>
        </w:tc>
        <w:tc>
          <w:p/>
        </w:tc>
        <w:tc>
          <w:p>
            <w:pPr>
              <w:pStyle w:val="Compact"/>
              <w:jc w:val="left"/>
            </w:pPr>
            <w:r>
              <w:t xml:space="preserve">c</w:t>
            </w:r>
          </w:p>
        </w:tc>
        <w:tc>
          <w:p>
            <w:pPr>
              <w:pStyle w:val="Compact"/>
              <w:jc w:val="left"/>
            </w:pPr>
            <w:r>
              <w:t xml:space="preserve">Sep</w:t>
            </w:r>
          </w:p>
        </w:tc>
        <w:tc>
          <w:p>
            <w:pPr>
              <w:pStyle w:val="Compact"/>
              <w:jc w:val="right"/>
            </w:pPr>
            <w:r>
              <w:t xml:space="preserve">12</w:t>
            </w:r>
          </w:p>
        </w:tc>
        <w:tc>
          <w:p>
            <w:pPr>
              <w:pStyle w:val="Compact"/>
              <w:jc w:val="right"/>
            </w:pPr>
            <w:r>
              <w:t xml:space="preserve">3.600</w:t>
            </w:r>
          </w:p>
        </w:tc>
        <w:tc>
          <w:p>
            <w:pPr>
              <w:pStyle w:val="Compact"/>
              <w:jc w:val="right"/>
            </w:pPr>
            <w:r>
              <w:t xml:space="preserve">0.900</w:t>
            </w:r>
          </w:p>
        </w:tc>
      </w:tr>
      <w:tr>
        <w:tc>
          <w:p>
            <w:pPr>
              <w:pStyle w:val="Compact"/>
              <w:jc w:val="left"/>
            </w:pPr>
            <w:r>
              <w:t xml:space="preserve">2</w:t>
            </w:r>
          </w:p>
        </w:tc>
        <w:tc>
          <w:p>
            <w:pPr>
              <w:pStyle w:val="Compact"/>
              <w:jc w:val="left"/>
            </w:pPr>
            <w:r>
              <w:t xml:space="preserve">TN (mg/L)</w:t>
            </w:r>
          </w:p>
        </w:tc>
        <w:tc>
          <w:p>
            <w:pPr>
              <w:pStyle w:val="Compact"/>
              <w:jc w:val="left"/>
            </w:pPr>
            <w:r>
              <w:t xml:space="preserve">20.85**</w:t>
            </w:r>
          </w:p>
        </w:tc>
        <w:tc>
          <w:p>
            <w:pPr>
              <w:pStyle w:val="Compact"/>
              <w:jc w:val="left"/>
            </w:pPr>
            <w:r>
              <w:t xml:space="preserve">a</w:t>
            </w:r>
          </w:p>
        </w:tc>
        <w:tc>
          <w:p>
            <w:pPr>
              <w:pStyle w:val="Compact"/>
              <w:jc w:val="left"/>
            </w:pPr>
            <w:r>
              <w:t xml:space="preserve">Apr</w:t>
            </w:r>
          </w:p>
        </w:tc>
        <w:tc>
          <w:p>
            <w:pPr>
              <w:pStyle w:val="Compact"/>
              <w:jc w:val="right"/>
            </w:pPr>
            <w:r>
              <w:t xml:space="preserve">18</w:t>
            </w:r>
          </w:p>
        </w:tc>
        <w:tc>
          <w:p>
            <w:pPr>
              <w:pStyle w:val="Compact"/>
              <w:jc w:val="right"/>
            </w:pPr>
            <w:r>
              <w:t xml:space="preserve">0.390</w:t>
            </w:r>
          </w:p>
        </w:tc>
        <w:tc>
          <w:p>
            <w:pPr>
              <w:pStyle w:val="Compact"/>
              <w:jc w:val="right"/>
            </w:pPr>
            <w:r>
              <w:t xml:space="preserve">-0.002</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4</w:t>
            </w:r>
          </w:p>
        </w:tc>
        <w:tc>
          <w:p>
            <w:pPr>
              <w:pStyle w:val="Compact"/>
              <w:jc w:val="right"/>
            </w:pPr>
            <w:r>
              <w:t xml:space="preserve">0.390</w:t>
            </w:r>
          </w:p>
        </w:tc>
        <w:tc>
          <w:p>
            <w:pPr>
              <w:pStyle w:val="Compact"/>
              <w:jc w:val="right"/>
            </w:pPr>
            <w:r>
              <w:t xml:space="preserve">0.160</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3</w:t>
            </w:r>
          </w:p>
        </w:tc>
        <w:tc>
          <w:p>
            <w:pPr>
              <w:pStyle w:val="Compact"/>
              <w:jc w:val="right"/>
            </w:pPr>
            <w:r>
              <w:t xml:space="preserve">0.500</w:t>
            </w:r>
          </w:p>
        </w:tc>
        <w:tc>
          <w:p>
            <w:pPr>
              <w:pStyle w:val="Compact"/>
              <w:jc w:val="right"/>
            </w:pPr>
            <w:r>
              <w:t xml:space="preserve">0.113</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3</w:t>
            </w:r>
          </w:p>
        </w:tc>
        <w:tc>
          <w:p>
            <w:pPr>
              <w:pStyle w:val="Compact"/>
              <w:jc w:val="right"/>
            </w:pPr>
            <w:r>
              <w:t xml:space="preserve">0.510</w:t>
            </w:r>
          </w:p>
        </w:tc>
        <w:tc>
          <w:p>
            <w:pPr>
              <w:pStyle w:val="Compact"/>
              <w:jc w:val="right"/>
            </w:pPr>
            <w:r>
              <w:t xml:space="preserve">0.097</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3</w:t>
            </w:r>
          </w:p>
        </w:tc>
        <w:tc>
          <w:p>
            <w:pPr>
              <w:pStyle w:val="Compact"/>
              <w:jc w:val="right"/>
            </w:pPr>
            <w:r>
              <w:t xml:space="preserve">0.540</w:t>
            </w:r>
          </w:p>
        </w:tc>
        <w:tc>
          <w:p>
            <w:pPr>
              <w:pStyle w:val="Compact"/>
              <w:jc w:val="right"/>
            </w:pPr>
            <w:r>
              <w:t xml:space="preserve">0.174</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1</w:t>
            </w:r>
          </w:p>
        </w:tc>
        <w:tc>
          <w:p>
            <w:pPr>
              <w:pStyle w:val="Compact"/>
              <w:jc w:val="right"/>
            </w:pPr>
            <w:r>
              <w:t xml:space="preserve">0.570</w:t>
            </w:r>
          </w:p>
        </w:tc>
        <w:tc>
          <w:p>
            <w:pPr>
              <w:pStyle w:val="Compact"/>
              <w:jc w:val="right"/>
            </w:pPr>
            <w:r>
              <w:t xml:space="preserve">0.049</w:t>
            </w:r>
          </w:p>
        </w:tc>
      </w:tr>
      <w:tr>
        <w:tc>
          <w:p/>
        </w:tc>
        <w:tc>
          <w:p>
            <w:pPr>
              <w:pStyle w:val="Compact"/>
              <w:jc w:val="left"/>
            </w:pPr>
            <w:r>
              <w:t xml:space="preserve">Chl-a (ug/L)</w:t>
            </w:r>
          </w:p>
        </w:tc>
        <w:tc>
          <w:p>
            <w:pPr>
              <w:pStyle w:val="Compact"/>
              <w:jc w:val="left"/>
            </w:pPr>
            <w:r>
              <w:t xml:space="preserve">10.76*</w:t>
            </w:r>
          </w:p>
        </w:tc>
        <w:tc>
          <w:p>
            <w:pPr>
              <w:pStyle w:val="Compact"/>
              <w:jc w:val="left"/>
            </w:pPr>
            <w:r>
              <w:t xml:space="preserve">a</w:t>
            </w:r>
          </w:p>
        </w:tc>
        <w:tc>
          <w:p>
            <w:pPr>
              <w:pStyle w:val="Compact"/>
              <w:jc w:val="left"/>
            </w:pPr>
            <w:r>
              <w:t xml:space="preserve">Apr</w:t>
            </w:r>
          </w:p>
        </w:tc>
        <w:tc>
          <w:p>
            <w:pPr>
              <w:pStyle w:val="Compact"/>
              <w:jc w:val="right"/>
            </w:pPr>
            <w:r>
              <w:t xml:space="preserve">22</w:t>
            </w:r>
          </w:p>
        </w:tc>
        <w:tc>
          <w:p>
            <w:pPr>
              <w:pStyle w:val="Compact"/>
              <w:jc w:val="right"/>
            </w:pPr>
            <w:r>
              <w:t xml:space="preserve">2.500</w:t>
            </w:r>
          </w:p>
        </w:tc>
        <w:tc>
          <w:p>
            <w:pPr>
              <w:pStyle w:val="Compact"/>
              <w:jc w:val="right"/>
            </w:pPr>
            <w:r>
              <w:t xml:space="preserve">-1.390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4</w:t>
            </w:r>
          </w:p>
        </w:tc>
        <w:tc>
          <w:p>
            <w:pPr>
              <w:pStyle w:val="Compact"/>
              <w:jc w:val="right"/>
            </w:pPr>
            <w:r>
              <w:t xml:space="preserve">2.150</w:t>
            </w:r>
          </w:p>
        </w:tc>
        <w:tc>
          <w:p>
            <w:pPr>
              <w:pStyle w:val="Compact"/>
              <w:jc w:val="right"/>
            </w:pPr>
            <w:r>
              <w:t xml:space="preserve">-2.590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4</w:t>
            </w:r>
          </w:p>
        </w:tc>
        <w:tc>
          <w:p>
            <w:pPr>
              <w:pStyle w:val="Compact"/>
              <w:jc w:val="right"/>
            </w:pPr>
            <w:r>
              <w:t xml:space="preserve">6.000</w:t>
            </w:r>
          </w:p>
        </w:tc>
        <w:tc>
          <w:p>
            <w:pPr>
              <w:pStyle w:val="Compact"/>
              <w:jc w:val="right"/>
            </w:pPr>
            <w:r>
              <w:t xml:space="preserve">-1.050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3</w:t>
            </w:r>
          </w:p>
        </w:tc>
        <w:tc>
          <w:p>
            <w:pPr>
              <w:pStyle w:val="Compact"/>
              <w:jc w:val="right"/>
            </w:pPr>
            <w:r>
              <w:t xml:space="preserve">7.200</w:t>
            </w:r>
          </w:p>
        </w:tc>
        <w:tc>
          <w:p>
            <w:pPr>
              <w:pStyle w:val="Compact"/>
              <w:jc w:val="right"/>
            </w:pPr>
            <w:r>
              <w:t xml:space="preserve">-0.940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5.200</w:t>
            </w:r>
          </w:p>
        </w:tc>
        <w:tc>
          <w:p>
            <w:pPr>
              <w:pStyle w:val="Compact"/>
              <w:jc w:val="right"/>
            </w:pPr>
            <w:r>
              <w:t xml:space="preserve">-4.940</w:t>
            </w:r>
          </w:p>
        </w:tc>
      </w:tr>
      <w:tr>
        <w:tc>
          <w:p/>
        </w:tc>
        <w:tc>
          <w:p>
            <w:pPr>
              <w:pStyle w:val="Compact"/>
              <w:jc w:val="left"/>
            </w:pPr>
            <w:r>
              <w:t xml:space="preserve">Secchi (m)</w:t>
            </w:r>
          </w:p>
        </w:tc>
        <w:tc>
          <w:p>
            <w:pPr>
              <w:pStyle w:val="Compact"/>
              <w:jc w:val="left"/>
            </w:pPr>
            <w:r>
              <w:t xml:space="preserve">3.82</w:t>
            </w:r>
          </w:p>
        </w:tc>
        <w:tc>
          <w:p>
            <w:pPr>
              <w:pStyle w:val="Compact"/>
              <w:jc w:val="left"/>
            </w:pPr>
            <w:r>
              <w:t xml:space="preserve">a</w:t>
            </w:r>
          </w:p>
        </w:tc>
        <w:tc>
          <w:p>
            <w:pPr>
              <w:pStyle w:val="Compact"/>
              <w:jc w:val="left"/>
            </w:pPr>
            <w:r>
              <w:t xml:space="preserve">Apr</w:t>
            </w:r>
          </w:p>
        </w:tc>
        <w:tc>
          <w:p>
            <w:pPr>
              <w:pStyle w:val="Compact"/>
              <w:jc w:val="right"/>
            </w:pPr>
            <w:r>
              <w:t xml:space="preserve">17</w:t>
            </w:r>
          </w:p>
        </w:tc>
        <w:tc>
          <w:p>
            <w:pPr>
              <w:pStyle w:val="Compact"/>
              <w:jc w:val="right"/>
            </w:pPr>
            <w:r>
              <w:t xml:space="preserve">2.000</w:t>
            </w:r>
          </w:p>
        </w:tc>
        <w:tc>
          <w:p>
            <w:pPr>
              <w:pStyle w:val="Compact"/>
              <w:jc w:val="right"/>
            </w:pPr>
            <w:r>
              <w:t xml:space="preserve">0.200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w:t>
            </w:r>
          </w:p>
        </w:tc>
        <w:tc>
          <w:p>
            <w:pPr>
              <w:pStyle w:val="Compact"/>
              <w:jc w:val="right"/>
            </w:pPr>
            <w:r>
              <w:t xml:space="preserve">2.000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3</w:t>
            </w:r>
          </w:p>
        </w:tc>
        <w:tc>
          <w:p>
            <w:pPr>
              <w:pStyle w:val="Compact"/>
              <w:jc w:val="right"/>
            </w:pPr>
            <w:r>
              <w:t xml:space="preserve">2.100</w:t>
            </w:r>
          </w:p>
        </w:tc>
        <w:tc>
          <w:p>
            <w:pPr>
              <w:pStyle w:val="Compact"/>
              <w:jc w:val="right"/>
            </w:pPr>
            <w:r>
              <w:t xml:space="preserve">0.700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w:t>
            </w:r>
          </w:p>
        </w:tc>
        <w:tc>
          <w:p>
            <w:pPr>
              <w:pStyle w:val="Compact"/>
              <w:jc w:val="right"/>
            </w:pPr>
            <w:r>
              <w:t xml:space="preserve">1.400</w:t>
            </w:r>
          </w:p>
        </w:tc>
        <w:tc>
          <w:p>
            <w:pPr>
              <w:pStyle w:val="Compact"/>
              <w:jc w:val="right"/>
            </w:pPr>
            <w:r>
              <w:t xml:space="preserve">-0.100</w:t>
            </w:r>
          </w:p>
        </w:tc>
      </w:tr>
      <w:tr>
        <w:tc>
          <w:p>
            <w:pPr>
              <w:pStyle w:val="Compact"/>
              <w:jc w:val="left"/>
            </w:pPr>
            <w:r>
              <w:t xml:space="preserve">3</w:t>
            </w:r>
          </w:p>
        </w:tc>
        <w:tc>
          <w:p>
            <w:pPr>
              <w:pStyle w:val="Compact"/>
              <w:jc w:val="left"/>
            </w:pPr>
            <w:r>
              <w:t xml:space="preserve">TN (mg/L)</w:t>
            </w:r>
          </w:p>
        </w:tc>
        <w:tc>
          <w:p>
            <w:pPr>
              <w:pStyle w:val="Compact"/>
              <w:jc w:val="left"/>
            </w:pPr>
            <w:r>
              <w:t xml:space="preserve">22.13**</w:t>
            </w:r>
          </w:p>
        </w:tc>
        <w:tc>
          <w:p>
            <w:pPr>
              <w:pStyle w:val="Compact"/>
              <w:jc w:val="left"/>
            </w:pPr>
            <w:r>
              <w:t xml:space="preserve">a</w:t>
            </w:r>
          </w:p>
        </w:tc>
        <w:tc>
          <w:p>
            <w:pPr>
              <w:pStyle w:val="Compact"/>
              <w:jc w:val="left"/>
            </w:pPr>
            <w:r>
              <w:t xml:space="preserve">Apr</w:t>
            </w:r>
          </w:p>
        </w:tc>
        <w:tc>
          <w:p>
            <w:pPr>
              <w:pStyle w:val="Compact"/>
              <w:jc w:val="right"/>
            </w:pPr>
            <w:r>
              <w:t xml:space="preserve">48</w:t>
            </w:r>
          </w:p>
        </w:tc>
        <w:tc>
          <w:p>
            <w:pPr>
              <w:pStyle w:val="Compact"/>
              <w:jc w:val="right"/>
            </w:pPr>
            <w:r>
              <w:t xml:space="preserve">0.330</w:t>
            </w:r>
          </w:p>
        </w:tc>
        <w:tc>
          <w:p>
            <w:pPr>
              <w:pStyle w:val="Compact"/>
              <w:jc w:val="right"/>
            </w:pPr>
            <w:r>
              <w:t xml:space="preserve">-0.010</w:t>
            </w:r>
          </w:p>
        </w:tc>
      </w:tr>
      <w:tr>
        <w:tc>
          <w:p/>
        </w:tc>
        <w:tc>
          <w:p/>
        </w:tc>
        <w:tc>
          <w:p/>
        </w:tc>
        <w:tc>
          <w:p>
            <w:pPr>
              <w:pStyle w:val="Compact"/>
              <w:jc w:val="left"/>
            </w:pPr>
            <w:r>
              <w:t xml:space="preserve">b</w:t>
            </w:r>
          </w:p>
        </w:tc>
        <w:tc>
          <w:p>
            <w:pPr>
              <w:pStyle w:val="Compact"/>
              <w:jc w:val="left"/>
            </w:pPr>
            <w:r>
              <w:t xml:space="preserve">May</w:t>
            </w:r>
          </w:p>
        </w:tc>
        <w:tc>
          <w:p>
            <w:pPr>
              <w:pStyle w:val="Compact"/>
              <w:jc w:val="right"/>
            </w:pPr>
            <w:r>
              <w:t xml:space="preserve">16</w:t>
            </w:r>
          </w:p>
        </w:tc>
        <w:tc>
          <w:p>
            <w:pPr>
              <w:pStyle w:val="Compact"/>
              <w:jc w:val="right"/>
            </w:pPr>
            <w:r>
              <w:t xml:space="preserve">0.335</w:t>
            </w:r>
          </w:p>
        </w:tc>
        <w:tc>
          <w:p>
            <w:pPr>
              <w:pStyle w:val="Compact"/>
              <w:jc w:val="right"/>
            </w:pPr>
            <w:r>
              <w:t xml:space="preserve">0.079</w:t>
            </w:r>
          </w:p>
        </w:tc>
      </w:tr>
      <w:tr>
        <w:tc>
          <w:p/>
        </w:tc>
        <w:tc>
          <w:p/>
        </w:tc>
        <w:tc>
          <w:p/>
        </w:tc>
        <w:tc>
          <w:p>
            <w:pPr>
              <w:pStyle w:val="Compact"/>
              <w:jc w:val="left"/>
            </w:pPr>
            <w:r>
              <w:t xml:space="preserve">ab</w:t>
            </w:r>
          </w:p>
        </w:tc>
        <w:tc>
          <w:p>
            <w:pPr>
              <w:pStyle w:val="Compact"/>
              <w:jc w:val="left"/>
            </w:pPr>
            <w:r>
              <w:t xml:space="preserve">Jun</w:t>
            </w:r>
          </w:p>
        </w:tc>
        <w:tc>
          <w:p>
            <w:pPr>
              <w:pStyle w:val="Compact"/>
              <w:jc w:val="right"/>
            </w:pPr>
            <w:r>
              <w:t xml:space="preserve">10</w:t>
            </w:r>
          </w:p>
        </w:tc>
        <w:tc>
          <w:p>
            <w:pPr>
              <w:pStyle w:val="Compact"/>
              <w:jc w:val="right"/>
            </w:pPr>
            <w:r>
              <w:t xml:space="preserve">0.350</w:t>
            </w:r>
          </w:p>
        </w:tc>
        <w:tc>
          <w:p>
            <w:pPr>
              <w:pStyle w:val="Compact"/>
              <w:jc w:val="right"/>
            </w:pPr>
            <w:r>
              <w:t xml:space="preserve">-0.087</w:t>
            </w:r>
          </w:p>
        </w:tc>
      </w:tr>
      <w:tr>
        <w:tc>
          <w:p/>
        </w:tc>
        <w:tc>
          <w:p/>
        </w:tc>
        <w:tc>
          <w:p/>
        </w:tc>
        <w:tc>
          <w:p>
            <w:pPr>
              <w:pStyle w:val="Compact"/>
              <w:jc w:val="left"/>
            </w:pPr>
            <w:r>
              <w:t xml:space="preserve">ab</w:t>
            </w:r>
          </w:p>
        </w:tc>
        <w:tc>
          <w:p>
            <w:pPr>
              <w:pStyle w:val="Compact"/>
              <w:jc w:val="left"/>
            </w:pPr>
            <w:r>
              <w:t xml:space="preserve">Jul</w:t>
            </w:r>
          </w:p>
        </w:tc>
        <w:tc>
          <w:p>
            <w:pPr>
              <w:pStyle w:val="Compact"/>
              <w:jc w:val="right"/>
            </w:pPr>
            <w:r>
              <w:t xml:space="preserve">12</w:t>
            </w:r>
          </w:p>
        </w:tc>
        <w:tc>
          <w:p>
            <w:pPr>
              <w:pStyle w:val="Compact"/>
              <w:jc w:val="right"/>
            </w:pPr>
            <w:r>
              <w:t xml:space="preserve">0.365</w:t>
            </w:r>
          </w:p>
        </w:tc>
        <w:tc>
          <w:p>
            <w:pPr>
              <w:pStyle w:val="Compact"/>
              <w:jc w:val="right"/>
            </w:pPr>
            <w:r>
              <w:t xml:space="preserve">0.043</w:t>
            </w:r>
          </w:p>
        </w:tc>
      </w:tr>
      <w:tr>
        <w:tc>
          <w:p/>
        </w:tc>
        <w:tc>
          <w:p/>
        </w:tc>
        <w:tc>
          <w:p/>
        </w:tc>
        <w:tc>
          <w:p>
            <w:pPr>
              <w:pStyle w:val="Compact"/>
              <w:jc w:val="left"/>
            </w:pPr>
            <w:r>
              <w:t xml:space="preserve">ab</w:t>
            </w:r>
          </w:p>
        </w:tc>
        <w:tc>
          <w:p>
            <w:pPr>
              <w:pStyle w:val="Compact"/>
              <w:jc w:val="left"/>
            </w:pPr>
            <w:r>
              <w:t xml:space="preserve">Aug</w:t>
            </w:r>
          </w:p>
        </w:tc>
        <w:tc>
          <w:p>
            <w:pPr>
              <w:pStyle w:val="Compact"/>
              <w:jc w:val="right"/>
            </w:pPr>
            <w:r>
              <w:t xml:space="preserve">4</w:t>
            </w:r>
          </w:p>
        </w:tc>
        <w:tc>
          <w:p>
            <w:pPr>
              <w:pStyle w:val="Compact"/>
              <w:jc w:val="right"/>
            </w:pPr>
            <w:r>
              <w:t xml:space="preserve">0.435</w:t>
            </w:r>
          </w:p>
        </w:tc>
        <w:tc>
          <w:p>
            <w:pPr>
              <w:pStyle w:val="Compact"/>
              <w:jc w:val="right"/>
            </w:pPr>
            <w:r>
              <w:t xml:space="preserve">0.126</w:t>
            </w:r>
          </w:p>
        </w:tc>
      </w:tr>
      <w:tr>
        <w:tc>
          <w:p/>
        </w:tc>
        <w:tc>
          <w:p/>
        </w:tc>
        <w:tc>
          <w:p/>
        </w:tc>
        <w:tc>
          <w:p>
            <w:pPr>
              <w:pStyle w:val="Compact"/>
              <w:jc w:val="left"/>
            </w:pPr>
            <w:r>
              <w:t xml:space="preserve">ab</w:t>
            </w:r>
          </w:p>
        </w:tc>
        <w:tc>
          <w:p>
            <w:pPr>
              <w:pStyle w:val="Compact"/>
              <w:jc w:val="left"/>
            </w:pPr>
            <w:r>
              <w:t xml:space="preserve">Sep</w:t>
            </w:r>
          </w:p>
        </w:tc>
        <w:tc>
          <w:p>
            <w:pPr>
              <w:pStyle w:val="Compact"/>
              <w:jc w:val="right"/>
            </w:pPr>
            <w:r>
              <w:t xml:space="preserve">7</w:t>
            </w:r>
          </w:p>
        </w:tc>
        <w:tc>
          <w:p>
            <w:pPr>
              <w:pStyle w:val="Compact"/>
              <w:jc w:val="right"/>
            </w:pPr>
            <w:r>
              <w:t xml:space="preserve">0.380</w:t>
            </w:r>
          </w:p>
        </w:tc>
        <w:tc>
          <w:p>
            <w:pPr>
              <w:pStyle w:val="Compact"/>
              <w:jc w:val="right"/>
            </w:pPr>
            <w:r>
              <w:t xml:space="preserve">0.023</w:t>
            </w:r>
          </w:p>
        </w:tc>
      </w:tr>
      <w:tr>
        <w:tc>
          <w:p/>
        </w:tc>
        <w:tc>
          <w:p>
            <w:pPr>
              <w:pStyle w:val="Compact"/>
              <w:jc w:val="left"/>
            </w:pPr>
            <w:r>
              <w:t xml:space="preserve">Chl-a (ug/L)</w:t>
            </w:r>
          </w:p>
        </w:tc>
        <w:tc>
          <w:p>
            <w:pPr>
              <w:pStyle w:val="Compact"/>
              <w:jc w:val="left"/>
            </w:pPr>
            <w:r>
              <w:t xml:space="preserve">33.62**</w:t>
            </w:r>
          </w:p>
        </w:tc>
        <w:tc>
          <w:p>
            <w:pPr>
              <w:pStyle w:val="Compact"/>
              <w:jc w:val="left"/>
            </w:pPr>
            <w:r>
              <w:t xml:space="preserve">ab</w:t>
            </w:r>
          </w:p>
        </w:tc>
        <w:tc>
          <w:p>
            <w:pPr>
              <w:pStyle w:val="Compact"/>
              <w:jc w:val="left"/>
            </w:pPr>
            <w:r>
              <w:t xml:space="preserve">Apr</w:t>
            </w:r>
          </w:p>
        </w:tc>
        <w:tc>
          <w:p>
            <w:pPr>
              <w:pStyle w:val="Compact"/>
              <w:jc w:val="right"/>
            </w:pPr>
            <w:r>
              <w:t xml:space="preserve">48</w:t>
            </w:r>
          </w:p>
        </w:tc>
        <w:tc>
          <w:p>
            <w:pPr>
              <w:pStyle w:val="Compact"/>
              <w:jc w:val="right"/>
            </w:pPr>
            <w:r>
              <w:t xml:space="preserve">1.900</w:t>
            </w:r>
          </w:p>
        </w:tc>
        <w:tc>
          <w:p>
            <w:pPr>
              <w:pStyle w:val="Compact"/>
              <w:jc w:val="right"/>
            </w:pPr>
            <w:r>
              <w:t xml:space="preserve">-0.900</w:t>
            </w:r>
          </w:p>
        </w:tc>
      </w:tr>
      <w:tr>
        <w:tc>
          <w:p/>
        </w:tc>
        <w:tc>
          <w:p/>
        </w:tc>
        <w:tc>
          <w:p/>
        </w:tc>
        <w:tc>
          <w:p>
            <w:pPr>
              <w:pStyle w:val="Compact"/>
              <w:jc w:val="left"/>
            </w:pPr>
            <w:r>
              <w:t xml:space="preserve">ac</w:t>
            </w:r>
          </w:p>
        </w:tc>
        <w:tc>
          <w:p>
            <w:pPr>
              <w:pStyle w:val="Compact"/>
              <w:jc w:val="left"/>
            </w:pPr>
            <w:r>
              <w:t xml:space="preserve">May</w:t>
            </w:r>
          </w:p>
        </w:tc>
        <w:tc>
          <w:p>
            <w:pPr>
              <w:pStyle w:val="Compact"/>
              <w:jc w:val="right"/>
            </w:pPr>
            <w:r>
              <w:t xml:space="preserve">16</w:t>
            </w:r>
          </w:p>
        </w:tc>
        <w:tc>
          <w:p>
            <w:pPr>
              <w:pStyle w:val="Compact"/>
              <w:jc w:val="right"/>
            </w:pPr>
            <w:r>
              <w:t xml:space="preserve">2.350</w:t>
            </w:r>
          </w:p>
        </w:tc>
        <w:tc>
          <w:p>
            <w:pPr>
              <w:pStyle w:val="Compact"/>
              <w:jc w:val="right"/>
            </w:pPr>
            <w:r>
              <w:t xml:space="preserve">-0.450</w:t>
            </w:r>
          </w:p>
        </w:tc>
      </w:tr>
      <w:tr>
        <w:tc>
          <w:p/>
        </w:tc>
        <w:tc>
          <w:p/>
        </w:tc>
        <w:tc>
          <w:p/>
        </w:tc>
        <w:tc>
          <w:p>
            <w:pPr>
              <w:pStyle w:val="Compact"/>
              <w:jc w:val="left"/>
            </w:pPr>
            <w:r>
              <w:t xml:space="preserve">b</w:t>
            </w:r>
          </w:p>
        </w:tc>
        <w:tc>
          <w:p>
            <w:pPr>
              <w:pStyle w:val="Compact"/>
              <w:jc w:val="left"/>
            </w:pPr>
            <w:r>
              <w:t xml:space="preserve">Jun</w:t>
            </w:r>
          </w:p>
        </w:tc>
        <w:tc>
          <w:p>
            <w:pPr>
              <w:pStyle w:val="Compact"/>
              <w:jc w:val="right"/>
            </w:pPr>
            <w:r>
              <w:t xml:space="preserve">12</w:t>
            </w:r>
          </w:p>
        </w:tc>
        <w:tc>
          <w:p>
            <w:pPr>
              <w:pStyle w:val="Compact"/>
              <w:jc w:val="right"/>
            </w:pPr>
            <w:r>
              <w:t xml:space="preserve">2.800</w:t>
            </w:r>
          </w:p>
        </w:tc>
        <w:tc>
          <w:p>
            <w:pPr>
              <w:pStyle w:val="Compact"/>
              <w:jc w:val="right"/>
            </w:pPr>
            <w:r>
              <w:t xml:space="preserve">-1.580</w:t>
            </w:r>
          </w:p>
        </w:tc>
      </w:tr>
      <w:tr>
        <w:tc>
          <w:p/>
        </w:tc>
        <w:tc>
          <w:p/>
        </w:tc>
        <w:tc>
          <w:p/>
        </w:tc>
        <w:tc>
          <w:p>
            <w:pPr>
              <w:pStyle w:val="Compact"/>
              <w:jc w:val="left"/>
            </w:pPr>
            <w:r>
              <w:t xml:space="preserve">cd</w:t>
            </w:r>
          </w:p>
        </w:tc>
        <w:tc>
          <w:p>
            <w:pPr>
              <w:pStyle w:val="Compact"/>
              <w:jc w:val="left"/>
            </w:pPr>
            <w:r>
              <w:t xml:space="preserve">Jul</w:t>
            </w:r>
          </w:p>
        </w:tc>
        <w:tc>
          <w:p>
            <w:pPr>
              <w:pStyle w:val="Compact"/>
              <w:jc w:val="right"/>
            </w:pPr>
            <w:r>
              <w:t xml:space="preserve">8</w:t>
            </w:r>
          </w:p>
        </w:tc>
        <w:tc>
          <w:p>
            <w:pPr>
              <w:pStyle w:val="Compact"/>
              <w:jc w:val="right"/>
            </w:pPr>
            <w:r>
              <w:t xml:space="preserve">4.150</w:t>
            </w:r>
          </w:p>
        </w:tc>
        <w:tc>
          <w:p>
            <w:pPr>
              <w:pStyle w:val="Compact"/>
              <w:jc w:val="right"/>
            </w:pPr>
            <w:r>
              <w:t xml:space="preserve">0.770</w:t>
            </w:r>
          </w:p>
        </w:tc>
      </w:tr>
      <w:tr>
        <w:tc>
          <w:p/>
        </w:tc>
        <w:tc>
          <w:p/>
        </w:tc>
        <w:tc>
          <w:p/>
        </w:tc>
        <w:tc>
          <w:p>
            <w:pPr>
              <w:pStyle w:val="Compact"/>
              <w:jc w:val="left"/>
            </w:pPr>
            <w:r>
              <w:t xml:space="preserve">bd</w:t>
            </w:r>
          </w:p>
        </w:tc>
        <w:tc>
          <w:p>
            <w:pPr>
              <w:pStyle w:val="Compact"/>
              <w:jc w:val="left"/>
            </w:pPr>
            <w:r>
              <w:t xml:space="preserve">Aug</w:t>
            </w:r>
          </w:p>
        </w:tc>
        <w:tc>
          <w:p>
            <w:pPr>
              <w:pStyle w:val="Compact"/>
              <w:jc w:val="right"/>
            </w:pPr>
            <w:r>
              <w:t xml:space="preserve">4</w:t>
            </w:r>
          </w:p>
        </w:tc>
        <w:tc>
          <w:p>
            <w:pPr>
              <w:pStyle w:val="Compact"/>
              <w:jc w:val="right"/>
            </w:pPr>
            <w:r>
              <w:t xml:space="preserve">3.200</w:t>
            </w:r>
          </w:p>
        </w:tc>
        <w:tc>
          <w:p>
            <w:pPr>
              <w:pStyle w:val="Compact"/>
              <w:jc w:val="right"/>
            </w:pPr>
            <w:r>
              <w:t xml:space="preserve">-3.100</w:t>
            </w:r>
          </w:p>
        </w:tc>
      </w:tr>
      <w:tr>
        <w:tc>
          <w:p/>
        </w:tc>
        <w:tc>
          <w:p/>
        </w:tc>
        <w:tc>
          <w:p/>
        </w:tc>
        <w:tc>
          <w:p>
            <w:pPr>
              <w:pStyle w:val="Compact"/>
              <w:jc w:val="left"/>
            </w:pPr>
            <w:r>
              <w:t xml:space="preserve">abcd</w:t>
            </w:r>
          </w:p>
        </w:tc>
        <w:tc>
          <w:p>
            <w:pPr>
              <w:pStyle w:val="Compact"/>
              <w:jc w:val="left"/>
            </w:pPr>
            <w:r>
              <w:t xml:space="preserve">Sep</w:t>
            </w:r>
          </w:p>
        </w:tc>
        <w:tc>
          <w:p>
            <w:pPr>
              <w:pStyle w:val="Compact"/>
              <w:jc w:val="right"/>
            </w:pPr>
            <w:r>
              <w:t xml:space="preserve">8</w:t>
            </w:r>
          </w:p>
        </w:tc>
        <w:tc>
          <w:p>
            <w:pPr>
              <w:pStyle w:val="Compact"/>
              <w:jc w:val="right"/>
            </w:pPr>
            <w:r>
              <w:t xml:space="preserve">3.600</w:t>
            </w:r>
          </w:p>
        </w:tc>
        <w:tc>
          <w:p>
            <w:pPr>
              <w:pStyle w:val="Compact"/>
              <w:jc w:val="right"/>
            </w:pPr>
            <w:r>
              <w:t xml:space="preserve">-1.500</w:t>
            </w:r>
          </w:p>
        </w:tc>
      </w:tr>
      <w:tr>
        <w:tc>
          <w:p/>
        </w:tc>
        <w:tc>
          <w:p>
            <w:pPr>
              <w:pStyle w:val="Compact"/>
              <w:jc w:val="left"/>
            </w:pPr>
            <w:r>
              <w:t xml:space="preserve">Secchi (m)</w:t>
            </w:r>
          </w:p>
        </w:tc>
        <w:tc>
          <w:p>
            <w:pPr>
              <w:pStyle w:val="Compact"/>
              <w:jc w:val="left"/>
            </w:pPr>
            <w:r>
              <w:t xml:space="preserve">8.77</w:t>
            </w:r>
          </w:p>
        </w:tc>
        <w:tc>
          <w:p>
            <w:pPr>
              <w:pStyle w:val="Compact"/>
              <w:jc w:val="left"/>
            </w:pPr>
            <w:r>
              <w:t xml:space="preserve">a</w:t>
            </w:r>
          </w:p>
        </w:tc>
        <w:tc>
          <w:p>
            <w:pPr>
              <w:pStyle w:val="Compact"/>
              <w:jc w:val="left"/>
            </w:pPr>
            <w:r>
              <w:t xml:space="preserve">Apr</w:t>
            </w:r>
          </w:p>
        </w:tc>
        <w:tc>
          <w:p>
            <w:pPr>
              <w:pStyle w:val="Compact"/>
              <w:jc w:val="right"/>
            </w:pPr>
            <w:r>
              <w:t xml:space="preserve">41</w:t>
            </w:r>
          </w:p>
        </w:tc>
        <w:tc>
          <w:p>
            <w:pPr>
              <w:pStyle w:val="Compact"/>
              <w:jc w:val="right"/>
            </w:pPr>
            <w:r>
              <w:t xml:space="preserve">2.700</w:t>
            </w:r>
          </w:p>
        </w:tc>
        <w:tc>
          <w:p>
            <w:pPr>
              <w:pStyle w:val="Compact"/>
              <w:jc w:val="right"/>
            </w:pPr>
            <w:r>
              <w:t xml:space="preserve">0.000</w:t>
            </w:r>
          </w:p>
        </w:tc>
      </w:tr>
      <w:tr>
        <w:tc>
          <w:p/>
        </w:tc>
        <w:tc>
          <w:p/>
        </w:tc>
        <w:tc>
          <w:p/>
        </w:tc>
        <w:tc>
          <w:p>
            <w:pPr>
              <w:pStyle w:val="Compact"/>
              <w:jc w:val="left"/>
            </w:pPr>
            <w:r>
              <w:t xml:space="preserve">a</w:t>
            </w:r>
          </w:p>
        </w:tc>
        <w:tc>
          <w:p>
            <w:pPr>
              <w:pStyle w:val="Compact"/>
              <w:jc w:val="left"/>
            </w:pPr>
            <w:r>
              <w:t xml:space="preserve">May</w:t>
            </w:r>
          </w:p>
        </w:tc>
        <w:tc>
          <w:p>
            <w:pPr>
              <w:pStyle w:val="Compact"/>
              <w:jc w:val="right"/>
            </w:pPr>
            <w:r>
              <w:t xml:space="preserve">16</w:t>
            </w:r>
          </w:p>
        </w:tc>
        <w:tc>
          <w:p>
            <w:pPr>
              <w:pStyle w:val="Compact"/>
              <w:jc w:val="right"/>
            </w:pPr>
            <w:r>
              <w:t xml:space="preserve">2.200</w:t>
            </w:r>
          </w:p>
        </w:tc>
        <w:tc>
          <w:p>
            <w:pPr>
              <w:pStyle w:val="Compact"/>
              <w:jc w:val="right"/>
            </w:pPr>
            <w:r>
              <w:t xml:space="preserve">-0.500</w:t>
            </w:r>
          </w:p>
        </w:tc>
      </w:tr>
      <w:tr>
        <w:tc>
          <w:p/>
        </w:tc>
        <w:tc>
          <w:p/>
        </w:tc>
        <w:tc>
          <w:p/>
        </w:tc>
        <w:tc>
          <w:p>
            <w:pPr>
              <w:pStyle w:val="Compact"/>
              <w:jc w:val="left"/>
            </w:pPr>
            <w:r>
              <w:t xml:space="preserve">a</w:t>
            </w:r>
          </w:p>
        </w:tc>
        <w:tc>
          <w:p>
            <w:pPr>
              <w:pStyle w:val="Compact"/>
              <w:jc w:val="left"/>
            </w:pPr>
            <w:r>
              <w:t xml:space="preserve">Jun</w:t>
            </w:r>
          </w:p>
        </w:tc>
        <w:tc>
          <w:p>
            <w:pPr>
              <w:pStyle w:val="Compact"/>
              <w:jc w:val="right"/>
            </w:pPr>
            <w:r>
              <w:t xml:space="preserve">12</w:t>
            </w:r>
          </w:p>
        </w:tc>
        <w:tc>
          <w:p>
            <w:pPr>
              <w:pStyle w:val="Compact"/>
              <w:jc w:val="right"/>
            </w:pPr>
            <w:r>
              <w:t xml:space="preserve">2.200</w:t>
            </w:r>
          </w:p>
        </w:tc>
        <w:tc>
          <w:p>
            <w:pPr>
              <w:pStyle w:val="Compact"/>
              <w:jc w:val="right"/>
            </w:pPr>
            <w:r>
              <w:t xml:space="preserve">-0.400</w:t>
            </w:r>
          </w:p>
        </w:tc>
      </w:tr>
      <w:tr>
        <w:tc>
          <w:p/>
        </w:tc>
        <w:tc>
          <w:p/>
        </w:tc>
        <w:tc>
          <w:p/>
        </w:tc>
        <w:tc>
          <w:p>
            <w:pPr>
              <w:pStyle w:val="Compact"/>
              <w:jc w:val="left"/>
            </w:pPr>
            <w:r>
              <w:t xml:space="preserve">a</w:t>
            </w:r>
          </w:p>
        </w:tc>
        <w:tc>
          <w:p>
            <w:pPr>
              <w:pStyle w:val="Compact"/>
              <w:jc w:val="left"/>
            </w:pPr>
            <w:r>
              <w:t xml:space="preserve">Jul</w:t>
            </w:r>
          </w:p>
        </w:tc>
        <w:tc>
          <w:p>
            <w:pPr>
              <w:pStyle w:val="Compact"/>
              <w:jc w:val="right"/>
            </w:pPr>
            <w:r>
              <w:t xml:space="preserve">12</w:t>
            </w:r>
          </w:p>
        </w:tc>
        <w:tc>
          <w:p>
            <w:pPr>
              <w:pStyle w:val="Compact"/>
              <w:jc w:val="right"/>
            </w:pPr>
            <w:r>
              <w:t xml:space="preserve">2.200</w:t>
            </w:r>
          </w:p>
        </w:tc>
        <w:tc>
          <w:p>
            <w:pPr>
              <w:pStyle w:val="Compact"/>
              <w:jc w:val="right"/>
            </w:pPr>
            <w:r>
              <w:t xml:space="preserve">-0.100</w:t>
            </w:r>
          </w:p>
        </w:tc>
      </w:tr>
      <w:tr>
        <w:tc>
          <w:p/>
        </w:tc>
        <w:tc>
          <w:p/>
        </w:tc>
        <w:tc>
          <w:p/>
        </w:tc>
        <w:tc>
          <w:p>
            <w:pPr>
              <w:pStyle w:val="Compact"/>
              <w:jc w:val="left"/>
            </w:pPr>
            <w:r>
              <w:t xml:space="preserve">a</w:t>
            </w:r>
          </w:p>
        </w:tc>
        <w:tc>
          <w:p>
            <w:pPr>
              <w:pStyle w:val="Compact"/>
              <w:jc w:val="left"/>
            </w:pPr>
            <w:r>
              <w:t xml:space="preserve">Aug</w:t>
            </w:r>
          </w:p>
        </w:tc>
        <w:tc>
          <w:p>
            <w:pPr>
              <w:pStyle w:val="Compact"/>
              <w:jc w:val="right"/>
            </w:pPr>
            <w:r>
              <w:t xml:space="preserve">3</w:t>
            </w:r>
          </w:p>
        </w:tc>
        <w:tc>
          <w:p>
            <w:pPr>
              <w:pStyle w:val="Compact"/>
              <w:jc w:val="right"/>
            </w:pPr>
            <w:r>
              <w:t xml:space="preserve">2.000</w:t>
            </w:r>
          </w:p>
        </w:tc>
        <w:tc>
          <w:p>
            <w:pPr>
              <w:pStyle w:val="Compact"/>
              <w:jc w:val="right"/>
            </w:pPr>
            <w:r>
              <w:t xml:space="preserve">-0.800</w:t>
            </w:r>
          </w:p>
        </w:tc>
      </w:tr>
      <w:tr>
        <w:tc>
          <w:p/>
        </w:tc>
        <w:tc>
          <w:p/>
        </w:tc>
        <w:tc>
          <w:p/>
        </w:tc>
        <w:tc>
          <w:p>
            <w:pPr>
              <w:pStyle w:val="Compact"/>
              <w:jc w:val="left"/>
            </w:pPr>
            <w:r>
              <w:t xml:space="preserve">a</w:t>
            </w:r>
          </w:p>
        </w:tc>
        <w:tc>
          <w:p>
            <w:pPr>
              <w:pStyle w:val="Compact"/>
              <w:jc w:val="left"/>
            </w:pPr>
            <w:r>
              <w:t xml:space="preserve">Sep</w:t>
            </w:r>
          </w:p>
        </w:tc>
        <w:tc>
          <w:p>
            <w:pPr>
              <w:pStyle w:val="Compact"/>
              <w:jc w:val="right"/>
            </w:pPr>
            <w:r>
              <w:t xml:space="preserve">11</w:t>
            </w:r>
          </w:p>
        </w:tc>
        <w:tc>
          <w:p>
            <w:pPr>
              <w:pStyle w:val="Compact"/>
              <w:jc w:val="right"/>
            </w:pPr>
            <w:r>
              <w:t xml:space="preserve">2.200</w:t>
            </w:r>
          </w:p>
        </w:tc>
        <w:tc>
          <w:p>
            <w:pPr>
              <w:pStyle w:val="Compact"/>
              <w:jc w:val="right"/>
            </w:pPr>
            <w:r>
              <w:t xml:space="preserve">0.000</w:t>
            </w:r>
          </w:p>
        </w:tc>
      </w:tr>
    </w:tbl>
    <w:bookmarkEnd w:id="79"/>
    <w:bookmarkStart w:id="195" w:name="references"/>
    <w:p>
      <w:pPr>
        <w:pStyle w:val="Heading1"/>
      </w:pPr>
      <w:r>
        <w:t xml:space="preserve">References</w:t>
      </w:r>
    </w:p>
    <w:bookmarkStart w:id="194" w:name="refs"/>
    <w:bookmarkStart w:id="81"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80">
        <w:r>
          <w:rPr>
            <w:rStyle w:val="Hyperlink"/>
          </w:rPr>
          <w:t xml:space="preserve">https://doi.org/10.1016/j.hal.2006.08.004</w:t>
        </w:r>
      </w:hyperlink>
    </w:p>
    <w:bookmarkEnd w:id="81"/>
    <w:bookmarkStart w:id="83"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82">
        <w:r>
          <w:rPr>
            <w:rStyle w:val="Hyperlink"/>
          </w:rPr>
          <w:t xml:space="preserve">https://doi.org/10.1016/j.marpolbul.2004.10.016</w:t>
        </w:r>
      </w:hyperlink>
    </w:p>
    <w:bookmarkEnd w:id="83"/>
    <w:bookmarkStart w:id="85" w:name="ref-Bates76"/>
    <w:p>
      <w:pPr>
        <w:pStyle w:val="Bibliography"/>
      </w:pPr>
      <w:r>
        <w:t xml:space="preserve">Bates, S.S., 1976. Effects of light and ammonium on nitrate uptake by two species of estuarine phytoplankton. Limnology and oceanography 21, 212–218.</w:t>
      </w:r>
      <w:r>
        <w:t xml:space="preserve"> </w:t>
      </w:r>
      <w:hyperlink r:id="rId84">
        <w:r>
          <w:rPr>
            <w:rStyle w:val="Hyperlink"/>
          </w:rPr>
          <w:t xml:space="preserve">https://doi.org/10.4319/lo.1976.21.2.0212</w:t>
        </w:r>
      </w:hyperlink>
    </w:p>
    <w:bookmarkEnd w:id="85"/>
    <w:bookmarkStart w:id="87"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6">
        <w:r>
          <w:rPr>
            <w:rStyle w:val="Hyperlink"/>
          </w:rPr>
          <w:t xml:space="preserve">https://doi.org/10.18785/gcr.2901.02</w:t>
        </w:r>
      </w:hyperlink>
    </w:p>
    <w:bookmarkEnd w:id="87"/>
    <w:bookmarkStart w:id="89"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8">
        <w:r>
          <w:rPr>
            <w:rStyle w:val="Hyperlink"/>
          </w:rPr>
          <w:t xml:space="preserve">https://doi.org/10.1007/s12237-017-0287-1</w:t>
        </w:r>
      </w:hyperlink>
    </w:p>
    <w:bookmarkEnd w:id="89"/>
    <w:bookmarkStart w:id="90" w:name="ref-Beck21"/>
    <w:p>
      <w:pPr>
        <w:pStyle w:val="Bibliography"/>
      </w:pPr>
      <w:r>
        <w:t xml:space="preserve">Beck, M.W., Schrandt, M., Wessel, M., Sherwood, E., Raulerson, G., Best, B., 2021. Tbeptools: Data and indicators for the tampa bay estuary program.</w:t>
      </w:r>
    </w:p>
    <w:bookmarkEnd w:id="90"/>
    <w:bookmarkStart w:id="91" w:name="ref-Bryan20"/>
    <w:p>
      <w:pPr>
        <w:pStyle w:val="Bibliography"/>
      </w:pPr>
      <w:r>
        <w:t xml:space="preserve">Bryan, J., 2020. googlesheets4: Access google sheets using the sheets API V4.</w:t>
      </w:r>
    </w:p>
    <w:bookmarkEnd w:id="91"/>
    <w:bookmarkStart w:id="92" w:name="ref-Burke17"/>
    <w:p>
      <w:pPr>
        <w:pStyle w:val="Bibliography"/>
      </w:pPr>
      <w:r>
        <w:t xml:space="preserve">Burke, M., 2017.</w:t>
      </w:r>
      <w:r>
        <w:t xml:space="preserve"> </w:t>
      </w:r>
      <w:r>
        <w:t xml:space="preserve">CCMP Climate Change Vulnerability Assessment</w:t>
      </w:r>
      <w:r>
        <w:t xml:space="preserve"> </w:t>
      </w:r>
      <w:r>
        <w:t xml:space="preserve">(No. 10b-17). Tampa Bay Estuary Program, St. Petersburg, Florida.</w:t>
      </w:r>
    </w:p>
    <w:bookmarkEnd w:id="92"/>
    <w:bookmarkStart w:id="94"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3">
        <w:r>
          <w:rPr>
            <w:rStyle w:val="Hyperlink"/>
          </w:rPr>
          <w:t xml:space="preserve">https://doi.org/10.1016/S0265-931X(00)00164-8</w:t>
        </w:r>
      </w:hyperlink>
    </w:p>
    <w:bookmarkEnd w:id="94"/>
    <w:bookmarkStart w:id="96"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5">
        <w:r>
          <w:rPr>
            <w:rStyle w:val="Hyperlink"/>
          </w:rPr>
          <w:t xml:space="preserve">https://doi.org/10.1007/s12237-013-9701-5</w:t>
        </w:r>
      </w:hyperlink>
    </w:p>
    <w:bookmarkEnd w:id="96"/>
    <w:bookmarkStart w:id="98" w:name="ref-Chen03"/>
    <w:p>
      <w:pPr>
        <w:pStyle w:val="Bibliography"/>
      </w:pPr>
      <w:r>
        <w:t xml:space="preserve">Chen, C., Liu, H., Beardsley, R.C., 2003. An unstructured grid, finite-volume, three-dimensional, primitive equations ocean model: Application to coastal ocean and estuaries. Journal of Atmospheric and Oceanic Technology 20, 159–186.</w:t>
      </w:r>
      <w:r>
        <w:t xml:space="preserve"> </w:t>
      </w:r>
      <w:hyperlink r:id="rId97">
        <w:r>
          <w:rPr>
            <w:rStyle w:val="Hyperlink"/>
          </w:rPr>
          <w:t xml:space="preserve">https://doi.org/10.1175/1520-0426(2003)020%3C0159:AUGFVT%3E2.0.CO;2</w:t>
        </w:r>
      </w:hyperlink>
    </w:p>
    <w:bookmarkEnd w:id="98"/>
    <w:bookmarkStart w:id="100" w:name="ref-Chen08"/>
    <w:p>
      <w:pPr>
        <w:pStyle w:val="Bibliography"/>
      </w:pPr>
      <w:r>
        <w:t xml:space="preserve">Chen, C., Xu, Q., Houghton, R., Beardsley, R.C., 2008. A model-dye comparison experiment in the tidal mixing front zone on the southern flank of</w:t>
      </w:r>
      <w:r>
        <w:t xml:space="preserve"> </w:t>
      </w:r>
      <w:r>
        <w:t xml:space="preserve">G</w:t>
      </w:r>
      <w:r>
        <w:t xml:space="preserve">eorges</w:t>
      </w:r>
      <w:r>
        <w:t xml:space="preserve"> </w:t>
      </w:r>
      <w:r>
        <w:t xml:space="preserve">B</w:t>
      </w:r>
      <w:r>
        <w:t xml:space="preserve">ank. Journal of Geophysical Research: Oceans 113.</w:t>
      </w:r>
      <w:r>
        <w:t xml:space="preserve"> </w:t>
      </w:r>
      <w:hyperlink r:id="rId99">
        <w:r>
          <w:rPr>
            <w:rStyle w:val="Hyperlink"/>
          </w:rPr>
          <w:t xml:space="preserve">https://doi.org/10.1029/2007JC004106</w:t>
        </w:r>
      </w:hyperlink>
    </w:p>
    <w:bookmarkEnd w:id="100"/>
    <w:bookmarkStart w:id="102"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101">
        <w:r>
          <w:rPr>
            <w:rStyle w:val="Hyperlink"/>
          </w:rPr>
          <w:t xml:space="preserve">https://doi.org/10.4031/MTSJ.52.3.6</w:t>
        </w:r>
      </w:hyperlink>
    </w:p>
    <w:bookmarkEnd w:id="102"/>
    <w:bookmarkStart w:id="104" w:name="ref-Chen19"/>
    <w:p>
      <w:pPr>
        <w:pStyle w:val="Bibliography"/>
      </w:pPr>
      <w:r>
        <w:t xml:space="preserve">Chen, J., Weisberg, R.H., Liu, Y., Zheng, L., Zhu, J., 2019. On the momentum balance of tampa bay. Journal of Geophysical Research: Oceans 124, 4492–4510.</w:t>
      </w:r>
      <w:r>
        <w:t xml:space="preserve"> </w:t>
      </w:r>
      <w:hyperlink r:id="rId103">
        <w:r>
          <w:rPr>
            <w:rStyle w:val="Hyperlink"/>
          </w:rPr>
          <w:t xml:space="preserve">https://doi.org/10.1029/2018JC014890</w:t>
        </w:r>
      </w:hyperlink>
    </w:p>
    <w:bookmarkEnd w:id="104"/>
    <w:bookmarkStart w:id="106"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5">
        <w:r>
          <w:rPr>
            <w:rStyle w:val="Hyperlink"/>
          </w:rPr>
          <w:t xml:space="preserve">https://doi.org/10.1890/1051-0761(2006)016[1405:UOGMAI]2.0.CO;2</w:t>
        </w:r>
      </w:hyperlink>
    </w:p>
    <w:bookmarkEnd w:id="106"/>
    <w:bookmarkStart w:id="107" w:name="ref-DAgostino20"/>
    <w:p>
      <w:pPr>
        <w:pStyle w:val="Bibliography"/>
      </w:pPr>
      <w:r>
        <w:t xml:space="preserve">D’Agostino McGowan, L., Bryan, J., 2020. Googledrive: An interface to google drive.</w:t>
      </w:r>
    </w:p>
    <w:bookmarkEnd w:id="107"/>
    <w:bookmarkStart w:id="108"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8"/>
    <w:bookmarkStart w:id="109"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9"/>
    <w:bookmarkStart w:id="111"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10">
        <w:r>
          <w:rPr>
            <w:rStyle w:val="Hyperlink"/>
          </w:rPr>
          <w:t xml:space="preserve">https://www.jstor.org/stable/24322132</w:t>
        </w:r>
      </w:hyperlink>
    </w:p>
    <w:bookmarkEnd w:id="111"/>
    <w:bookmarkStart w:id="113"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12">
        <w:r>
          <w:rPr>
            <w:rStyle w:val="Hyperlink"/>
          </w:rPr>
          <w:t xml:space="preserve">https://doi.org/10.1007/s00027-011-0180-0</w:t>
        </w:r>
      </w:hyperlink>
    </w:p>
    <w:bookmarkEnd w:id="113"/>
    <w:bookmarkStart w:id="115"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4">
        <w:r>
          <w:rPr>
            <w:rStyle w:val="Hyperlink"/>
          </w:rPr>
          <w:t xml:space="preserve">https://doi.org/10.1016/j.marpolbul.2015.10.047</w:t>
        </w:r>
      </w:hyperlink>
    </w:p>
    <w:bookmarkEnd w:id="115"/>
    <w:bookmarkStart w:id="117"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20">
        <w:r>
          <w:rPr>
            <w:rStyle w:val="Hyperlink"/>
          </w:rPr>
          <w:t xml:space="preserve">https://doi.org/10.3389/fmars.2021.605858</w:t>
        </w:r>
      </w:hyperlink>
    </w:p>
    <w:bookmarkEnd w:id="121"/>
    <w:bookmarkStart w:id="123"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2">
        <w:r>
          <w:rPr>
            <w:rStyle w:val="Hyperlink"/>
          </w:rPr>
          <w:t xml:space="preserve">https://doi.org/10.1007/s00267-005-0079-4</w:t>
        </w:r>
      </w:hyperlink>
    </w:p>
    <w:bookmarkEnd w:id="123"/>
    <w:bookmarkStart w:id="124"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24"/>
    <w:bookmarkStart w:id="126"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5">
        <w:r>
          <w:rPr>
            <w:rStyle w:val="Hyperlink"/>
          </w:rPr>
          <w:t xml:space="preserve">https://doi.org/10.1016/j.ecss.2014.10.003</w:t>
        </w:r>
      </w:hyperlink>
    </w:p>
    <w:bookmarkEnd w:id="126"/>
    <w:bookmarkStart w:id="127" w:name="ref-Helsel05"/>
    <w:p>
      <w:pPr>
        <w:pStyle w:val="Bibliography"/>
      </w:pPr>
      <w:r>
        <w:t xml:space="preserve">Helsel, D.R., 2005. Nondectects and data analysis: Statistics for censored environmental data. John Wiley &amp; Sons, New Jersey, USA.</w:t>
      </w:r>
    </w:p>
    <w:bookmarkEnd w:id="127"/>
    <w:bookmarkStart w:id="128"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8"/>
    <w:bookmarkStart w:id="129" w:name="ref-Hollander13"/>
    <w:p>
      <w:pPr>
        <w:pStyle w:val="Bibliography"/>
      </w:pPr>
      <w:r>
        <w:t xml:space="preserve">Hollander, M., Wolfe, D.A., Chicken, E., 2013. Nonparametric statistical methods. John Wiley &amp; Sons.</w:t>
      </w:r>
    </w:p>
    <w:bookmarkEnd w:id="129"/>
    <w:bookmarkStart w:id="130" w:name="ref-Holm79"/>
    <w:p>
      <w:pPr>
        <w:pStyle w:val="Bibliography"/>
      </w:pPr>
      <w:r>
        <w:t xml:space="preserve">Holm, S., 1979. A simple sequentially rejective multiple test procedure. Scandinavian journal of statistics 65–70.</w:t>
      </w:r>
    </w:p>
    <w:bookmarkEnd w:id="130"/>
    <w:bookmarkStart w:id="132"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31">
        <w:r>
          <w:rPr>
            <w:rStyle w:val="Hyperlink"/>
          </w:rPr>
          <w:t xml:space="preserve">https://doi.org/10.4319/lo.2006.51.1_part_2.0364</w:t>
        </w:r>
      </w:hyperlink>
    </w:p>
    <w:bookmarkEnd w:id="132"/>
    <w:bookmarkStart w:id="134" w:name="ref-Hudson11"/>
    <w:p>
      <w:pPr>
        <w:pStyle w:val="Bibliography"/>
      </w:pPr>
      <w:r>
        <w:t xml:space="preserve">Hudson-Edwards, K.A., Jamieson, H.E., Lottermoser, B.G., 2011. Mine wastes: Past, present, future. Elements 7, 375–380.</w:t>
      </w:r>
      <w:r>
        <w:t xml:space="preserve"> </w:t>
      </w:r>
      <w:hyperlink r:id="rId133">
        <w:r>
          <w:rPr>
            <w:rStyle w:val="Hyperlink"/>
          </w:rPr>
          <w:t xml:space="preserve">https://doi.org/10.2113/gselements.7.6.375</w:t>
        </w:r>
      </w:hyperlink>
    </w:p>
    <w:bookmarkEnd w:id="134"/>
    <w:bookmarkStart w:id="135"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35"/>
    <w:bookmarkStart w:id="136" w:name="ref-Janicki17"/>
    <w:p>
      <w:pPr>
        <w:pStyle w:val="Bibliography"/>
      </w:pPr>
      <w:r>
        <w:t xml:space="preserve">Janicki Environmental, Inc., 2017a.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6"/>
    <w:bookmarkStart w:id="137" w:name="ref-tbep0417"/>
    <w:p>
      <w:pPr>
        <w:pStyle w:val="Bibliography"/>
      </w:pPr>
      <w:r>
        <w:t xml:space="preserve">Janicki Environmental, Inc., 2017b.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7"/>
    <w:bookmarkStart w:id="138" w:name="ref-Janicki08"/>
    <w:p>
      <w:pPr>
        <w:pStyle w:val="Bibliography"/>
      </w:pPr>
      <w:r>
        <w:t xml:space="preserve">Janicki Environmental, Inc., 2008. Estimation of nitrogen loading from residential irrigation. Tampa Bay Estuary Program, St. Petersburg, Florida.</w:t>
      </w:r>
    </w:p>
    <w:bookmarkEnd w:id="138"/>
    <w:bookmarkStart w:id="13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39"/>
    <w:bookmarkStart w:id="140"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40"/>
    <w:bookmarkStart w:id="141" w:name="ref-Lee20"/>
    <w:p>
      <w:pPr>
        <w:pStyle w:val="Bibliography"/>
      </w:pPr>
      <w:r>
        <w:t xml:space="preserve">Lee, L., 2020. NADA: Nondetects and data analysis for environmental data.</w:t>
      </w:r>
    </w:p>
    <w:bookmarkEnd w:id="141"/>
    <w:bookmarkStart w:id="143"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42">
        <w:r>
          <w:rPr>
            <w:rStyle w:val="Hyperlink"/>
          </w:rPr>
          <w:t xml:space="preserve">https://doi.org/10.1002/2016JC011938</w:t>
        </w:r>
      </w:hyperlink>
    </w:p>
    <w:bookmarkEnd w:id="143"/>
    <w:bookmarkStart w:id="145"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4">
        <w:r>
          <w:rPr>
            <w:rStyle w:val="Hyperlink"/>
          </w:rPr>
          <w:t xml:space="preserve">https://doi.org/10.1016/j.ocecoaman.2005.07.002</w:t>
        </w:r>
      </w:hyperlink>
    </w:p>
    <w:bookmarkEnd w:id="145"/>
    <w:bookmarkStart w:id="147"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6">
        <w:r>
          <w:rPr>
            <w:rStyle w:val="Hyperlink"/>
          </w:rPr>
          <w:t xml:space="preserve">https://doi.org/10.1016/j.envsoft.2019.03.027</w:t>
        </w:r>
      </w:hyperlink>
    </w:p>
    <w:bookmarkEnd w:id="147"/>
    <w:bookmarkStart w:id="149" w:name="ref-Nixon95"/>
    <w:p>
      <w:pPr>
        <w:pStyle w:val="Bibliography"/>
      </w:pPr>
      <w:r>
        <w:t xml:space="preserve">Nixon, S.W., 1995. Coastal marine eutrophication: A definition, social causes, and future concerns. Ophelia 41, 199–219.</w:t>
      </w:r>
      <w:r>
        <w:t xml:space="preserve"> </w:t>
      </w:r>
      <w:hyperlink r:id="rId148">
        <w:r>
          <w:rPr>
            <w:rStyle w:val="Hyperlink"/>
          </w:rPr>
          <w:t xml:space="preserve">https://doi.org/10.1080/00785236.1995.10422044</w:t>
        </w:r>
      </w:hyperlink>
    </w:p>
    <w:bookmarkEnd w:id="149"/>
    <w:bookmarkStart w:id="150"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50"/>
    <w:bookmarkStart w:id="152"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1">
        <w:r>
          <w:rPr>
            <w:rStyle w:val="Hyperlink"/>
          </w:rPr>
          <w:t xml:space="preserve">https://doi.org/10.32614/RJ-2018-009</w:t>
        </w:r>
      </w:hyperlink>
    </w:p>
    <w:bookmarkEnd w:id="152"/>
    <w:bookmarkStart w:id="154"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3">
        <w:r>
          <w:rPr>
            <w:rStyle w:val="Hyperlink"/>
          </w:rPr>
          <w:t xml:space="preserve">https://doi.org/10.1016/j.scitotenv.2016.02.070</w:t>
        </w:r>
      </w:hyperlink>
    </w:p>
    <w:bookmarkEnd w:id="154"/>
    <w:bookmarkStart w:id="156"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5">
        <w:r>
          <w:rPr>
            <w:rStyle w:val="Hyperlink"/>
          </w:rPr>
          <w:t xml:space="preserve">https://doi.org/10.1016/j.apgeochem.2010.02.003</w:t>
        </w:r>
      </w:hyperlink>
    </w:p>
    <w:bookmarkEnd w:id="156"/>
    <w:bookmarkStart w:id="158" w:name="ref-Poor13"/>
    <w:p>
      <w:pPr>
        <w:pStyle w:val="Bibliography"/>
      </w:pPr>
      <w:r>
        <w:t xml:space="preserve">Poor, N., Cross, L., Dennis, R., 2013.</w:t>
      </w:r>
      <w:r>
        <w:t xml:space="preserve"> </w:t>
      </w:r>
      <w:r>
        <w:t xml:space="preserve">Lessons learned from the Bay Region Atmospheric Chemistry Experiment (BRACE) and implications for nitrogen management of Tampa Bay</w:t>
      </w:r>
      <w:r>
        <w:t xml:space="preserve">. Atmospheric Environment 70, 75–83.</w:t>
      </w:r>
      <w:r>
        <w:t xml:space="preserve"> </w:t>
      </w:r>
      <w:hyperlink r:id="rId157">
        <w:r>
          <w:rPr>
            <w:rStyle w:val="Hyperlink"/>
          </w:rPr>
          <w:t xml:space="preserve">https://doi.org/10.1016/j.atmosenv.2012.12.030</w:t>
        </w:r>
      </w:hyperlink>
    </w:p>
    <w:bookmarkEnd w:id="158"/>
    <w:bookmarkStart w:id="159" w:name="ref-RCT20"/>
    <w:p>
      <w:pPr>
        <w:pStyle w:val="Bibliography"/>
      </w:pPr>
      <w:r>
        <w:t xml:space="preserve">R Core Team, 2020. R: A language and environment for statistical computing, v4.0.3. R Foundation for Statistical Computing, Vienna, Austria.</w:t>
      </w:r>
    </w:p>
    <w:bookmarkEnd w:id="159"/>
    <w:bookmarkStart w:id="161"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60">
        <w:r>
          <w:rPr>
            <w:rStyle w:val="Hyperlink"/>
          </w:rPr>
          <w:t xml:space="preserve">https://doi.org/10.1007/s11270-013-1742-7</w:t>
        </w:r>
      </w:hyperlink>
    </w:p>
    <w:bookmarkEnd w:id="161"/>
    <w:bookmarkStart w:id="163"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2">
        <w:r>
          <w:rPr>
            <w:rStyle w:val="Hyperlink"/>
          </w:rPr>
          <w:t xml:space="preserve">https://doi.org/10.1016/j.ecolind.2020.107310</w:t>
        </w:r>
      </w:hyperlink>
    </w:p>
    <w:bookmarkEnd w:id="163"/>
    <w:bookmarkStart w:id="165" w:name="ref-Sherwood14"/>
    <w:p>
      <w:pPr>
        <w:pStyle w:val="Bibliography"/>
      </w:pPr>
      <w:r>
        <w:t xml:space="preserve">Sherwood, E., Greening, H., 2014. Potential impacts and management implications of climate change on</w:t>
      </w:r>
      <w:r>
        <w:t xml:space="preserve"> </w:t>
      </w:r>
      <w:r>
        <w:t xml:space="preserve">T</w:t>
      </w:r>
      <w:r>
        <w:t xml:space="preserve">ampa</w:t>
      </w:r>
      <w:r>
        <w:t xml:space="preserve"> </w:t>
      </w:r>
      <w:r>
        <w:t xml:space="preserve">B</w:t>
      </w:r>
      <w:r>
        <w:t xml:space="preserve">ay estuary critical coastal habitats. Environmental Management 53, 401–415.</w:t>
      </w:r>
      <w:r>
        <w:t xml:space="preserve"> </w:t>
      </w:r>
      <w:hyperlink r:id="rId164">
        <w:r>
          <w:rPr>
            <w:rStyle w:val="Hyperlink"/>
          </w:rPr>
          <w:t xml:space="preserve">https://doi.org/10.1007/s00267-013-0179-5</w:t>
        </w:r>
      </w:hyperlink>
    </w:p>
    <w:bookmarkEnd w:id="165"/>
    <w:bookmarkStart w:id="167"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6">
        <w:r>
          <w:rPr>
            <w:rStyle w:val="Hyperlink"/>
          </w:rPr>
          <w:t xml:space="preserve">https://doi.org/10.1353/sgo.2017.0026</w:t>
        </w:r>
      </w:hyperlink>
    </w:p>
    <w:bookmarkEnd w:id="167"/>
    <w:bookmarkStart w:id="168"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8"/>
    <w:bookmarkStart w:id="170"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9">
        <w:r>
          <w:rPr>
            <w:rStyle w:val="Hyperlink"/>
          </w:rPr>
          <w:t xml:space="preserve">https://doi.org/10.1016/j.jembe.2005.11.025</w:t>
        </w:r>
      </w:hyperlink>
    </w:p>
    <w:bookmarkEnd w:id="170"/>
    <w:bookmarkStart w:id="172"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1">
        <w:r>
          <w:rPr>
            <w:rStyle w:val="Hyperlink"/>
          </w:rPr>
          <w:t xml:space="preserve">https://doi.org/10.1080/00139307509435842</w:t>
        </w:r>
      </w:hyperlink>
    </w:p>
    <w:bookmarkEnd w:id="172"/>
    <w:bookmarkStart w:id="173"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3"/>
    <w:bookmarkStart w:id="175"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4">
        <w:r>
          <w:rPr>
            <w:rStyle w:val="Hyperlink"/>
          </w:rPr>
          <w:t xml:space="preserve">https://doi.org/10.1016/j.jenvman.2009.03.007</w:t>
        </w:r>
      </w:hyperlink>
    </w:p>
    <w:bookmarkEnd w:id="175"/>
    <w:bookmarkStart w:id="177"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6">
        <w:r>
          <w:rPr>
            <w:rStyle w:val="Hyperlink"/>
          </w:rPr>
          <w:t xml:space="preserve">https://doi.org/10.1016/j.marpolbul.2020.111247</w:t>
        </w:r>
      </w:hyperlink>
    </w:p>
    <w:bookmarkEnd w:id="177"/>
    <w:bookmarkStart w:id="179"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8">
        <w:r>
          <w:rPr>
            <w:rStyle w:val="Hyperlink"/>
          </w:rPr>
          <w:t xml:space="preserve">https://doi.org/10.1016/j.marpolbul.2018.08.049</w:t>
        </w:r>
      </w:hyperlink>
    </w:p>
    <w:bookmarkEnd w:id="179"/>
    <w:bookmarkStart w:id="181"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0">
        <w:r>
          <w:rPr>
            <w:rStyle w:val="Hyperlink"/>
          </w:rPr>
          <w:t xml:space="preserve">https://doi.org/10.4319/lo.1997.42.5_part_2.1105</w:t>
        </w:r>
      </w:hyperlink>
    </w:p>
    <w:bookmarkEnd w:id="181"/>
    <w:bookmarkStart w:id="182"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82"/>
    <w:bookmarkStart w:id="184"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3">
        <w:r>
          <w:rPr>
            <w:rStyle w:val="Hyperlink"/>
          </w:rPr>
          <w:t xml:space="preserve">https://doi.org/10.1029/2018JC014887</w:t>
        </w:r>
      </w:hyperlink>
    </w:p>
    <w:bookmarkEnd w:id="184"/>
    <w:bookmarkStart w:id="186" w:name="ref-Weisberg06"/>
    <w:p>
      <w:pPr>
        <w:pStyle w:val="Bibliography"/>
      </w:pPr>
      <w:r>
        <w:t xml:space="preserve">Weisberg, R.H., Zheng, L., 2006. Circulation of</w:t>
      </w:r>
      <w:r>
        <w:t xml:space="preserve"> </w:t>
      </w:r>
      <w:r>
        <w:t xml:space="preserve">T</w:t>
      </w:r>
      <w:r>
        <w:t xml:space="preserve">ampa</w:t>
      </w:r>
      <w:r>
        <w:t xml:space="preserve"> </w:t>
      </w:r>
      <w:r>
        <w:t xml:space="preserve">B</w:t>
      </w:r>
      <w:r>
        <w:t xml:space="preserve">ay driven by buoyancy, tides, and winds, as simulated using a finite volume coastal ocean model. Journal of Geophysical Research: Oceans 111.</w:t>
      </w:r>
      <w:r>
        <w:t xml:space="preserve"> </w:t>
      </w:r>
      <w:hyperlink r:id="rId185">
        <w:r>
          <w:rPr>
            <w:rStyle w:val="Hyperlink"/>
          </w:rPr>
          <w:t xml:space="preserve">https://doi.org/10.1029/2005JC003067</w:t>
        </w:r>
      </w:hyperlink>
    </w:p>
    <w:bookmarkEnd w:id="186"/>
    <w:bookmarkStart w:id="188"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7">
        <w:r>
          <w:rPr>
            <w:rStyle w:val="Hyperlink"/>
          </w:rPr>
          <w:t xml:space="preserve">https://doi.org/10.1016/j.hal.2014.04.010</w:t>
        </w:r>
      </w:hyperlink>
    </w:p>
    <w:bookmarkEnd w:id="188"/>
    <w:bookmarkStart w:id="190"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9">
        <w:r>
          <w:rPr>
            <w:rStyle w:val="Hyperlink"/>
          </w:rPr>
          <w:t xml:space="preserve">https://doi.org/10.21105/joss.01686</w:t>
        </w:r>
      </w:hyperlink>
    </w:p>
    <w:bookmarkEnd w:id="190"/>
    <w:bookmarkStart w:id="191" w:name="ref-Wood17"/>
    <w:p>
      <w:pPr>
        <w:pStyle w:val="Bibliography"/>
      </w:pPr>
      <w:r>
        <w:t xml:space="preserve">Wood, S.N., 2017. Generalized additive models: An introduction with r, 2nd ed. Chapman; Hall, CRC Press, London, United Kingdom.</w:t>
      </w:r>
    </w:p>
    <w:bookmarkEnd w:id="191"/>
    <w:bookmarkStart w:id="193" w:name="ref-Zhu15"/>
    <w:p>
      <w:pPr>
        <w:pStyle w:val="Bibliography"/>
      </w:pPr>
      <w:r>
        <w:t xml:space="preserve">Zhu, J., Weisberg, R.H., Zheng, L., Han, S., 2015. On the flushing of</w:t>
      </w:r>
      <w:r>
        <w:t xml:space="preserve"> </w:t>
      </w:r>
      <w:r>
        <w:t xml:space="preserve">T</w:t>
      </w:r>
      <w:r>
        <w:t xml:space="preserve">ampa</w:t>
      </w:r>
      <w:r>
        <w:t xml:space="preserve"> </w:t>
      </w:r>
      <w:r>
        <w:t xml:space="preserve">B</w:t>
      </w:r>
      <w:r>
        <w:t xml:space="preserve">ay. Estuaries and Coasts 38, 118–131.</w:t>
      </w:r>
      <w:r>
        <w:t xml:space="preserve"> </w:t>
      </w:r>
      <w:hyperlink r:id="rId192">
        <w:r>
          <w:rPr>
            <w:rStyle w:val="Hyperlink"/>
          </w:rPr>
          <w:t xml:space="preserve">https://doi.org/10.1007/s12237-014-9793-6</w:t>
        </w:r>
      </w:hyperlink>
    </w:p>
    <w:bookmarkEnd w:id="193"/>
    <w:bookmarkEnd w:id="194"/>
    <w:bookmarkEnd w:id="195"/>
    <w:sectPr w:rsidR="00537D25" w:rsidRPr="00D40009" w:rsidSect="003C73CD">
      <w:footerReference w:type="default" r:id="rId9"/>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F42C1D"/>
    <w:multiLevelType w:val="multilevel"/>
    <w:tmpl w:val="45FC37E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BBEBA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EA184E0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D40C8C6E"/>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DDCC6FEE"/>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ACA85E36"/>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E646BB8C"/>
    <w:lvl w:ilvl="0">
      <w:start w:val="1"/>
      <w:numFmt w:val="bullet"/>
      <w:pStyle w:val="ListBullet5"/>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BBB8F250"/>
    <w:lvl w:ilvl="0">
      <w:start w:val="1"/>
      <w:numFmt w:val="bullet"/>
      <w:pStyle w:val="ListBullet4"/>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A8D46850"/>
    <w:lvl w:ilvl="0">
      <w:start w:val="1"/>
      <w:numFmt w:val="bullet"/>
      <w:pStyle w:val="ListBullet3"/>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F23C9B0A"/>
    <w:lvl w:ilvl="0">
      <w:start w:val="1"/>
      <w:numFmt w:val="bullet"/>
      <w:pStyle w:val="ListBullet2"/>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EB244DD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00DEAA"/>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21725581"/>
    <w:multiLevelType w:val="hybridMultilevel"/>
    <w:tmpl w:val="DE3A0D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C80801"/>
    <w:rPr>
      <w:rFonts w:ascii="Times New Roman" w:hAnsi="Times New Roman"/>
    </w:rPr>
  </w:style>
  <w:style w:type="paragraph" w:styleId="Heading1">
    <w:name w:val="heading 1"/>
    <w:basedOn w:val="Normal"/>
    <w:next w:val="BodyText"/>
    <w:uiPriority w:val="9"/>
    <w:qFormat/>
    <w:rsid w:val="00D40009"/>
    <w:pPr>
      <w:keepNext/>
      <w:keepLines/>
      <w:spacing w:before="480" w:after="0"/>
      <w:outlineLvl w:val="0"/>
    </w:pPr>
    <w:rPr>
      <w:rFonts w:eastAsiaTheme="majorEastAsia" w:cstheme="majorBidi"/>
      <w:b/>
      <w:bCs/>
      <w:color w:val="000000" w:themeColor="text1"/>
      <w:sz w:val="32"/>
      <w:szCs w:val="32"/>
    </w:rPr>
  </w:style>
  <w:style w:type="paragraph" w:styleId="Heading2">
    <w:name w:val="heading 2"/>
    <w:basedOn w:val="Normal"/>
    <w:next w:val="BodyText"/>
    <w:uiPriority w:val="9"/>
    <w:unhideWhenUsed/>
    <w:qFormat/>
    <w:rsid w:val="00D40009"/>
    <w:pPr>
      <w:keepNext/>
      <w:keepLines/>
      <w:spacing w:before="200" w:after="0"/>
      <w:outlineLvl w:val="1"/>
    </w:pPr>
    <w:rPr>
      <w:rFonts w:eastAsiaTheme="majorEastAsia" w:cstheme="majorBidi"/>
      <w:b/>
      <w:bCs/>
      <w:color w:val="000000" w:themeColor="text1"/>
      <w:sz w:val="32"/>
      <w:szCs w:val="32"/>
    </w:rPr>
  </w:style>
  <w:style w:type="paragraph" w:styleId="Heading3">
    <w:name w:val="heading 3"/>
    <w:basedOn w:val="Normal"/>
    <w:next w:val="BodyText"/>
    <w:uiPriority w:val="9"/>
    <w:unhideWhenUsed/>
    <w:qFormat/>
    <w:rsid w:val="00D40009"/>
    <w:pPr>
      <w:keepNext/>
      <w:keepLines/>
      <w:spacing w:before="200" w:after="0"/>
      <w:outlineLvl w:val="2"/>
    </w:pPr>
    <w:rPr>
      <w:rFonts w:eastAsiaTheme="majorEastAsia" w:cstheme="majorBidi"/>
      <w:b/>
      <w:bCs/>
      <w:color w:val="000000" w:themeColor="text1"/>
      <w:sz w:val="28"/>
      <w:szCs w:val="28"/>
    </w:rPr>
  </w:style>
  <w:style w:type="paragraph" w:styleId="Heading4">
    <w:name w:val="heading 4"/>
    <w:basedOn w:val="Normal"/>
    <w:next w:val="BodyText"/>
    <w:uiPriority w:val="9"/>
    <w:unhideWhenUsed/>
    <w:qFormat/>
    <w:rsid w:val="00D40009"/>
    <w:pPr>
      <w:keepNext/>
      <w:keepLines/>
      <w:spacing w:before="200" w:after="0"/>
      <w:outlineLvl w:val="3"/>
    </w:pPr>
    <w:rPr>
      <w:rFonts w:eastAsiaTheme="majorEastAsia" w:cstheme="majorBidi"/>
      <w:b/>
      <w:bCs/>
      <w:color w:val="000000" w:themeColor="text1"/>
    </w:rPr>
  </w:style>
  <w:style w:type="paragraph" w:styleId="Heading5">
    <w:name w:val="heading 5"/>
    <w:basedOn w:val="Normal"/>
    <w:next w:val="BodyText"/>
    <w:uiPriority w:val="9"/>
    <w:unhideWhenUsed/>
    <w:qFormat/>
    <w:rsid w:val="00D40009"/>
    <w:pPr>
      <w:keepNext/>
      <w:keepLines/>
      <w:spacing w:before="200" w:after="0"/>
      <w:outlineLvl w:val="4"/>
    </w:pPr>
    <w:rPr>
      <w:rFonts w:eastAsiaTheme="majorEastAsia" w:cstheme="majorBidi"/>
      <w:i/>
      <w:iCs/>
      <w:color w:val="000000" w:themeColor="text1"/>
    </w:rPr>
  </w:style>
  <w:style w:type="paragraph" w:styleId="Heading6">
    <w:name w:val="heading 6"/>
    <w:basedOn w:val="Normal"/>
    <w:next w:val="BodyText"/>
    <w:uiPriority w:val="9"/>
    <w:unhideWhenUsed/>
    <w:qFormat/>
    <w:rsid w:val="00D40009"/>
    <w:pPr>
      <w:keepNext/>
      <w:keepLines/>
      <w:spacing w:before="200" w:after="0"/>
      <w:outlineLvl w:val="5"/>
    </w:pPr>
    <w:rPr>
      <w:rFonts w:eastAsiaTheme="majorEastAsia" w:cstheme="majorBidi"/>
      <w:color w:val="000000" w:themeColor="text1"/>
    </w:rPr>
  </w:style>
  <w:style w:type="paragraph" w:styleId="Heading8">
    <w:name w:val="heading 8"/>
    <w:basedOn w:val="Normal"/>
    <w:next w:val="Normal"/>
    <w:link w:val="Heading8Char"/>
    <w:rsid w:val="00C80801"/>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9205D"/>
    <w:pPr>
      <w:spacing w:before="180" w:after="180"/>
    </w:pPr>
  </w:style>
  <w:style w:type="paragraph" w:customStyle="1" w:styleId="FirstParagraph">
    <w:name w:val="First Paragraph"/>
    <w:basedOn w:val="BodyText"/>
    <w:next w:val="BodyText"/>
    <w:qFormat/>
    <w:rsid w:val="00F9205D"/>
  </w:style>
  <w:style w:type="paragraph" w:customStyle="1" w:styleId="Compact">
    <w:name w:val="Compact"/>
    <w:basedOn w:val="BodyText"/>
    <w:qFormat/>
    <w:pPr>
      <w:spacing w:before="36" w:after="36"/>
    </w:pPr>
  </w:style>
  <w:style w:type="paragraph" w:styleId="Title">
    <w:name w:val="Title"/>
    <w:basedOn w:val="Normal"/>
    <w:next w:val="BodyText"/>
    <w:qFormat/>
    <w:rsid w:val="00D40009"/>
    <w:pPr>
      <w:keepNext/>
      <w:keepLines/>
      <w:spacing w:before="480" w:after="240"/>
      <w:jc w:val="center"/>
    </w:pPr>
    <w:rPr>
      <w:rFonts w:eastAsiaTheme="majorEastAsia"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F9205D"/>
    <w:pPr>
      <w:keepNext/>
      <w:keepLines/>
      <w:jc w:val="center"/>
    </w:pPr>
    <w:rPr>
      <w:rFonts w:ascii="Times New Roman" w:hAnsi="Times New Roman"/>
    </w:rPr>
  </w:style>
  <w:style w:type="paragraph" w:styleId="Date">
    <w:name w:val="Date"/>
    <w:next w:val="BodyText"/>
    <w:qFormat/>
    <w:rsid w:val="00F9205D"/>
    <w:pPr>
      <w:keepNext/>
      <w:keepLines/>
      <w:jc w:val="center"/>
    </w:pPr>
    <w:rPr>
      <w:rFonts w:ascii="Times New Roman" w:hAnsi="Times New Roman"/>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47C2"/>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F9205D"/>
    <w:rPr>
      <w:rFonts w:ascii="Times New Roman" w:hAnsi="Times New Roman"/>
    </w:rPr>
  </w:style>
  <w:style w:type="paragraph" w:styleId="ListContinue">
    <w:name w:val="List Continue"/>
    <w:basedOn w:val="Normal"/>
    <w:semiHidden/>
    <w:unhideWhenUsed/>
    <w:rsid w:val="007747C2"/>
    <w:pPr>
      <w:spacing w:after="120"/>
      <w:ind w:left="360"/>
      <w:contextualSpacing/>
    </w:pPr>
  </w:style>
  <w:style w:type="paragraph" w:styleId="ListParagraph">
    <w:name w:val="List Paragraph"/>
    <w:basedOn w:val="Normal"/>
    <w:rsid w:val="007747C2"/>
    <w:pPr>
      <w:ind w:left="720"/>
      <w:contextualSpacing/>
    </w:pPr>
  </w:style>
  <w:style w:type="paragraph" w:styleId="List">
    <w:name w:val="List"/>
    <w:basedOn w:val="Normal"/>
    <w:semiHidden/>
    <w:unhideWhenUsed/>
    <w:rsid w:val="00BD3235"/>
    <w:pPr>
      <w:ind w:left="360" w:hanging="360"/>
      <w:contextualSpacing/>
    </w:pPr>
  </w:style>
  <w:style w:type="paragraph" w:styleId="List2">
    <w:name w:val="List 2"/>
    <w:basedOn w:val="Normal"/>
    <w:semiHidden/>
    <w:unhideWhenUsed/>
    <w:rsid w:val="00BD3235"/>
    <w:pPr>
      <w:ind w:left="720" w:hanging="360"/>
      <w:contextualSpacing/>
    </w:pPr>
  </w:style>
  <w:style w:type="paragraph" w:styleId="List3">
    <w:name w:val="List 3"/>
    <w:basedOn w:val="Normal"/>
    <w:semiHidden/>
    <w:unhideWhenUsed/>
    <w:rsid w:val="00BD3235"/>
    <w:pPr>
      <w:ind w:left="1080" w:hanging="360"/>
      <w:contextualSpacing/>
    </w:pPr>
  </w:style>
  <w:style w:type="paragraph" w:styleId="List4">
    <w:name w:val="List 4"/>
    <w:basedOn w:val="Normal"/>
    <w:semiHidden/>
    <w:unhideWhenUsed/>
    <w:rsid w:val="00BD3235"/>
    <w:pPr>
      <w:ind w:left="1440" w:hanging="360"/>
      <w:contextualSpacing/>
    </w:pPr>
  </w:style>
  <w:style w:type="paragraph" w:styleId="List5">
    <w:name w:val="List 5"/>
    <w:basedOn w:val="Normal"/>
    <w:semiHidden/>
    <w:unhideWhenUsed/>
    <w:rsid w:val="00BD3235"/>
    <w:pPr>
      <w:ind w:left="1800" w:hanging="360"/>
      <w:contextualSpacing/>
    </w:pPr>
  </w:style>
  <w:style w:type="paragraph" w:styleId="Index1">
    <w:name w:val="index 1"/>
    <w:basedOn w:val="Normal"/>
    <w:next w:val="Normal"/>
    <w:autoRedefine/>
    <w:rsid w:val="00C242C7"/>
    <w:pPr>
      <w:spacing w:after="0"/>
      <w:ind w:left="240" w:hanging="240"/>
    </w:pPr>
  </w:style>
  <w:style w:type="paragraph" w:styleId="ListBullet">
    <w:name w:val="List Bullet"/>
    <w:basedOn w:val="Normal"/>
    <w:semiHidden/>
    <w:unhideWhenUsed/>
    <w:rsid w:val="00C242C7"/>
    <w:pPr>
      <w:numPr>
        <w:numId w:val="3"/>
      </w:numPr>
      <w:contextualSpacing/>
    </w:pPr>
  </w:style>
  <w:style w:type="paragraph" w:styleId="ListBullet2">
    <w:name w:val="List Bullet 2"/>
    <w:basedOn w:val="Normal"/>
    <w:rsid w:val="00C242C7"/>
    <w:pPr>
      <w:numPr>
        <w:numId w:val="4"/>
      </w:numPr>
      <w:contextualSpacing/>
    </w:pPr>
  </w:style>
  <w:style w:type="paragraph" w:styleId="ListBullet3">
    <w:name w:val="List Bullet 3"/>
    <w:basedOn w:val="Normal"/>
    <w:semiHidden/>
    <w:unhideWhenUsed/>
    <w:rsid w:val="00C242C7"/>
    <w:pPr>
      <w:numPr>
        <w:numId w:val="5"/>
      </w:numPr>
      <w:contextualSpacing/>
    </w:pPr>
  </w:style>
  <w:style w:type="paragraph" w:styleId="ListBullet4">
    <w:name w:val="List Bullet 4"/>
    <w:basedOn w:val="Normal"/>
    <w:semiHidden/>
    <w:unhideWhenUsed/>
    <w:rsid w:val="00C242C7"/>
    <w:pPr>
      <w:numPr>
        <w:numId w:val="6"/>
      </w:numPr>
      <w:contextualSpacing/>
    </w:pPr>
  </w:style>
  <w:style w:type="paragraph" w:styleId="ListBullet5">
    <w:name w:val="List Bullet 5"/>
    <w:basedOn w:val="Normal"/>
    <w:rsid w:val="008E7A52"/>
    <w:pPr>
      <w:numPr>
        <w:numId w:val="7"/>
      </w:numPr>
      <w:contextualSpacing/>
    </w:pPr>
  </w:style>
  <w:style w:type="character" w:customStyle="1" w:styleId="Heading8Char">
    <w:name w:val="Heading 8 Char"/>
    <w:basedOn w:val="DefaultParagraphFont"/>
    <w:link w:val="Heading8"/>
    <w:rsid w:val="00C80801"/>
    <w:rPr>
      <w:rFonts w:asciiTheme="majorHAnsi" w:eastAsiaTheme="majorEastAsia" w:hAnsiTheme="majorHAnsi" w:cstheme="majorBidi"/>
      <w:color w:val="272727" w:themeColor="text1" w:themeTint="D8"/>
      <w:sz w:val="21"/>
      <w:szCs w:val="21"/>
    </w:rPr>
  </w:style>
  <w:style w:type="paragraph" w:styleId="TOC1">
    <w:name w:val="toc 1"/>
    <w:basedOn w:val="Normal"/>
    <w:next w:val="Normal"/>
    <w:autoRedefine/>
    <w:semiHidden/>
    <w:unhideWhenUsed/>
    <w:rsid w:val="00C80801"/>
    <w:pPr>
      <w:spacing w:after="100"/>
    </w:pPr>
  </w:style>
  <w:style w:type="paragraph" w:styleId="TOC2">
    <w:name w:val="toc 2"/>
    <w:basedOn w:val="Normal"/>
    <w:next w:val="Normal"/>
    <w:autoRedefine/>
    <w:semiHidden/>
    <w:unhideWhenUsed/>
    <w:rsid w:val="00C80801"/>
    <w:pPr>
      <w:spacing w:after="100"/>
      <w:ind w:left="240"/>
    </w:pPr>
  </w:style>
  <w:style w:type="paragraph" w:styleId="TOC3">
    <w:name w:val="toc 3"/>
    <w:basedOn w:val="Normal"/>
    <w:next w:val="Normal"/>
    <w:autoRedefine/>
    <w:semiHidden/>
    <w:unhideWhenUsed/>
    <w:rsid w:val="00C80801"/>
    <w:pPr>
      <w:spacing w:after="100"/>
      <w:ind w:left="480"/>
    </w:pPr>
  </w:style>
  <w:style w:type="paragraph" w:styleId="Header">
    <w:name w:val="header"/>
    <w:basedOn w:val="Normal"/>
    <w:link w:val="HeaderChar"/>
    <w:unhideWhenUsed/>
    <w:rsid w:val="003C73CD"/>
    <w:pPr>
      <w:tabs>
        <w:tab w:val="center" w:pos="4680"/>
        <w:tab w:val="right" w:pos="9360"/>
      </w:tabs>
      <w:spacing w:after="0"/>
    </w:pPr>
  </w:style>
  <w:style w:type="character" w:customStyle="1" w:styleId="HeaderChar">
    <w:name w:val="Header Char"/>
    <w:basedOn w:val="DefaultParagraphFont"/>
    <w:link w:val="Header"/>
    <w:rsid w:val="003C73CD"/>
    <w:rPr>
      <w:rFonts w:ascii="Times New Roman" w:hAnsi="Times New Roman"/>
    </w:rPr>
  </w:style>
  <w:style w:type="paragraph" w:styleId="Footer">
    <w:name w:val="footer"/>
    <w:basedOn w:val="Normal"/>
    <w:link w:val="FooterChar"/>
    <w:uiPriority w:val="99"/>
    <w:unhideWhenUsed/>
    <w:rsid w:val="003C73CD"/>
    <w:pPr>
      <w:tabs>
        <w:tab w:val="center" w:pos="4680"/>
        <w:tab w:val="right" w:pos="9360"/>
      </w:tabs>
      <w:spacing w:after="0"/>
    </w:pPr>
  </w:style>
  <w:style w:type="character" w:customStyle="1" w:styleId="FooterChar">
    <w:name w:val="Footer Char"/>
    <w:basedOn w:val="DefaultParagraphFont"/>
    <w:link w:val="Footer"/>
    <w:uiPriority w:val="99"/>
    <w:rsid w:val="003C73CD"/>
    <w:rPr>
      <w:rFonts w:ascii="Times New Roman" w:hAnsi="Times New Roman"/>
    </w:rPr>
  </w:style>
  <w:style w:type="character" w:styleId="LineNumb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2" Target="media/rId72.jpg" /><Relationship Type="http://schemas.openxmlformats.org/officeDocument/2006/relationships/image" Id="rId73" Target="media/rId73.jpg" /><Relationship Type="http://schemas.openxmlformats.org/officeDocument/2006/relationships/image" Id="rId71" Target="media/rId71.jpg" /><Relationship Type="http://schemas.openxmlformats.org/officeDocument/2006/relationships/image" Id="rId70" Target="media/rId70.jpg" /><Relationship Type="http://schemas.openxmlformats.org/officeDocument/2006/relationships/image" Id="rId77" Target="media/rId77.jpg" /><Relationship Type="http://schemas.openxmlformats.org/officeDocument/2006/relationships/image" Id="rId74" Target="media/rId74.jpg" /><Relationship Type="http://schemas.openxmlformats.org/officeDocument/2006/relationships/hyperlink" Id="rId48" Target="http://ocgweb.marine.usf.edu/hab_tracking/wfcom_hab.html" TargetMode="External" /><Relationship Type="http://schemas.openxmlformats.org/officeDocument/2006/relationships/hyperlink" Id="rId142" Target="https://doi.org/10.1002/2016JC011938" TargetMode="External" /><Relationship Type="http://schemas.openxmlformats.org/officeDocument/2006/relationships/hyperlink" Id="rId112" Target="https://doi.org/10.1007/s00027-011-0180-0" TargetMode="External" /><Relationship Type="http://schemas.openxmlformats.org/officeDocument/2006/relationships/hyperlink" Id="rId122" Target="https://doi.org/10.1007/s00267-005-0079-4" TargetMode="External" /><Relationship Type="http://schemas.openxmlformats.org/officeDocument/2006/relationships/hyperlink" Id="rId164" Target="https://doi.org/10.1007/s00267-013-0179-5" TargetMode="External" /><Relationship Type="http://schemas.openxmlformats.org/officeDocument/2006/relationships/hyperlink" Id="rId160"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192" Target="https://doi.org/10.1007/s12237-014-9793-6" TargetMode="External" /><Relationship Type="http://schemas.openxmlformats.org/officeDocument/2006/relationships/hyperlink" Id="rId88"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55" Target="https://doi.org/10.1016/j.apgeochem.2010.02.003" TargetMode="External" /><Relationship Type="http://schemas.openxmlformats.org/officeDocument/2006/relationships/hyperlink" Id="rId157" Target="https://doi.org/10.1016/j.atmosenv.2012.12.030" TargetMode="External" /><Relationship Type="http://schemas.openxmlformats.org/officeDocument/2006/relationships/hyperlink" Id="rId162" Target="https://doi.org/10.1016/j.ecolind.2020.107310" TargetMode="External" /><Relationship Type="http://schemas.openxmlformats.org/officeDocument/2006/relationships/hyperlink" Id="rId125" Target="https://doi.org/10.1016/j.ecss.2014.10.003" TargetMode="External" /><Relationship Type="http://schemas.openxmlformats.org/officeDocument/2006/relationships/hyperlink" Id="rId146" Target="https://doi.org/10.1016/j.envsoft.2019.03.027" TargetMode="External" /><Relationship Type="http://schemas.openxmlformats.org/officeDocument/2006/relationships/hyperlink" Id="rId80"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69" Target="https://doi.org/10.1016/j.jembe.2005.11.025" TargetMode="External" /><Relationship Type="http://schemas.openxmlformats.org/officeDocument/2006/relationships/hyperlink" Id="rId174" Target="https://doi.org/10.1016/j.jenvman.2009.03.007" TargetMode="External" /><Relationship Type="http://schemas.openxmlformats.org/officeDocument/2006/relationships/hyperlink" Id="rId82"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4" Target="https://doi.org/10.1016/j.marpolbul.2015.10.047" TargetMode="External" /><Relationship Type="http://schemas.openxmlformats.org/officeDocument/2006/relationships/hyperlink" Id="rId178" Target="https://doi.org/10.1016/j.marpolbul.2018.08.049" TargetMode="External" /><Relationship Type="http://schemas.openxmlformats.org/officeDocument/2006/relationships/hyperlink" Id="rId176" Target="https://doi.org/10.1016/j.marpolbul.2020.111247" TargetMode="External" /><Relationship Type="http://schemas.openxmlformats.org/officeDocument/2006/relationships/hyperlink" Id="rId144" Target="https://doi.org/10.1016/j.ocecoaman.2005.07.002" TargetMode="External" /><Relationship Type="http://schemas.openxmlformats.org/officeDocument/2006/relationships/hyperlink" Id="rId153" Target="https://doi.org/10.1016/j.scitotenv.2016.02.070" TargetMode="External" /><Relationship Type="http://schemas.openxmlformats.org/officeDocument/2006/relationships/hyperlink" Id="rId185" Target="https://doi.org/10.1029/2005JC003067" TargetMode="External" /><Relationship Type="http://schemas.openxmlformats.org/officeDocument/2006/relationships/hyperlink" Id="rId99" Target="https://doi.org/10.1029/2007JC004106" TargetMode="External" /><Relationship Type="http://schemas.openxmlformats.org/officeDocument/2006/relationships/hyperlink" Id="rId183" Target="https://doi.org/10.1029/2018JC014887" TargetMode="External" /><Relationship Type="http://schemas.openxmlformats.org/officeDocument/2006/relationships/hyperlink" Id="rId103" Target="https://doi.org/10.1029/2018JC014890" TargetMode="External" /><Relationship Type="http://schemas.openxmlformats.org/officeDocument/2006/relationships/hyperlink" Id="rId171" Target="https://doi.org/10.1080/00139307509435842" TargetMode="External" /><Relationship Type="http://schemas.openxmlformats.org/officeDocument/2006/relationships/hyperlink" Id="rId148" Target="https://doi.org/10.1080/00785236.1995.10422044" TargetMode="External" /><Relationship Type="http://schemas.openxmlformats.org/officeDocument/2006/relationships/hyperlink" Id="rId97" Target="https://doi.org/10.1175/1520-0426(2003)020%3C0159:AUGFVT%3E2.0.CO;2" TargetMode="External" /><Relationship Type="http://schemas.openxmlformats.org/officeDocument/2006/relationships/hyperlink" Id="rId166"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105"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133" Target="https://doi.org/10.2113/gselements.7.6.375" TargetMode="External" /><Relationship Type="http://schemas.openxmlformats.org/officeDocument/2006/relationships/hyperlink" Id="rId151" Target="https://doi.org/10.32614/RJ-2018-009" TargetMode="External" /><Relationship Type="http://schemas.openxmlformats.org/officeDocument/2006/relationships/hyperlink" Id="rId120" Target="https://doi.org/10.3389/fmars.2021.605858" TargetMode="External" /><Relationship Type="http://schemas.openxmlformats.org/officeDocument/2006/relationships/hyperlink" Id="rId101" Target="https://doi.org/10.4031/MTSJ.52.3.6" TargetMode="External" /><Relationship Type="http://schemas.openxmlformats.org/officeDocument/2006/relationships/hyperlink" Id="rId84" Target="https://doi.org/10.4319/lo.1976.21.2.0212" TargetMode="External" /><Relationship Type="http://schemas.openxmlformats.org/officeDocument/2006/relationships/hyperlink" Id="rId180" Target="https://doi.org/10.4319/lo.1997.42.5_part_2.1105" TargetMode="External" /><Relationship Type="http://schemas.openxmlformats.org/officeDocument/2006/relationships/hyperlink" Id="rId131" Target="https://doi.org/10.4319/lo.2006.51.1_part_2.0364" TargetMode="External" /><Relationship Type="http://schemas.openxmlformats.org/officeDocument/2006/relationships/hyperlink" Id="rId46"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76"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3" Target="https://tbep-tech.github.io/piney-point-analysis/benthic" TargetMode="External" /><Relationship Type="http://schemas.openxmlformats.org/officeDocument/2006/relationships/hyperlink" Id="rId62" Target="https://tbep-tech.github.io/piney-point-analysis/spills" TargetMode="External" /><Relationship Type="http://schemas.openxmlformats.org/officeDocument/2006/relationships/hyperlink" Id="rId47"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10" Target="https://www.jstor.org/stable/24322132" TargetMode="External" /><Relationship Type="http://schemas.openxmlformats.org/officeDocument/2006/relationships/hyperlink" Id="rId75"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_rels/footnotes.xml.rels><?xml version="1.0" encoding="UTF-8"?>
<Relationships xmlns="http://schemas.openxmlformats.org/package/2006/relationships"><Relationship Type="http://schemas.openxmlformats.org/officeDocument/2006/relationships/hyperlink" Id="rId48" Target="http://ocgweb.marine.usf.edu/hab_tracking/wfcom_hab.html" TargetMode="External" /><Relationship Type="http://schemas.openxmlformats.org/officeDocument/2006/relationships/hyperlink" Id="rId142" Target="https://doi.org/10.1002/2016JC011938" TargetMode="External" /><Relationship Type="http://schemas.openxmlformats.org/officeDocument/2006/relationships/hyperlink" Id="rId112" Target="https://doi.org/10.1007/s00027-011-0180-0" TargetMode="External" /><Relationship Type="http://schemas.openxmlformats.org/officeDocument/2006/relationships/hyperlink" Id="rId122" Target="https://doi.org/10.1007/s00267-005-0079-4" TargetMode="External" /><Relationship Type="http://schemas.openxmlformats.org/officeDocument/2006/relationships/hyperlink" Id="rId164" Target="https://doi.org/10.1007/s00267-013-0179-5" TargetMode="External" /><Relationship Type="http://schemas.openxmlformats.org/officeDocument/2006/relationships/hyperlink" Id="rId160"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5" Target="https://doi.org/10.1007/s12237-013-9701-5" TargetMode="External" /><Relationship Type="http://schemas.openxmlformats.org/officeDocument/2006/relationships/hyperlink" Id="rId192" Target="https://doi.org/10.1007/s12237-014-9793-6" TargetMode="External" /><Relationship Type="http://schemas.openxmlformats.org/officeDocument/2006/relationships/hyperlink" Id="rId88" Target="https://doi.org/10.1007/s12237-017-0287-1" TargetMode="External" /><Relationship Type="http://schemas.openxmlformats.org/officeDocument/2006/relationships/hyperlink" Id="rId93" Target="https://doi.org/10.1016/S0265-931X(00)00164-8" TargetMode="External" /><Relationship Type="http://schemas.openxmlformats.org/officeDocument/2006/relationships/hyperlink" Id="rId155" Target="https://doi.org/10.1016/j.apgeochem.2010.02.003" TargetMode="External" /><Relationship Type="http://schemas.openxmlformats.org/officeDocument/2006/relationships/hyperlink" Id="rId157" Target="https://doi.org/10.1016/j.atmosenv.2012.12.030" TargetMode="External" /><Relationship Type="http://schemas.openxmlformats.org/officeDocument/2006/relationships/hyperlink" Id="rId162" Target="https://doi.org/10.1016/j.ecolind.2020.107310" TargetMode="External" /><Relationship Type="http://schemas.openxmlformats.org/officeDocument/2006/relationships/hyperlink" Id="rId125" Target="https://doi.org/10.1016/j.ecss.2014.10.003" TargetMode="External" /><Relationship Type="http://schemas.openxmlformats.org/officeDocument/2006/relationships/hyperlink" Id="rId146" Target="https://doi.org/10.1016/j.envsoft.2019.03.027" TargetMode="External" /><Relationship Type="http://schemas.openxmlformats.org/officeDocument/2006/relationships/hyperlink" Id="rId80" Target="https://doi.org/10.1016/j.hal.2006.08.004" TargetMode="External" /><Relationship Type="http://schemas.openxmlformats.org/officeDocument/2006/relationships/hyperlink" Id="rId187" Target="https://doi.org/10.1016/j.hal.2014.04.010" TargetMode="External" /><Relationship Type="http://schemas.openxmlformats.org/officeDocument/2006/relationships/hyperlink" Id="rId169" Target="https://doi.org/10.1016/j.jembe.2005.11.025" TargetMode="External" /><Relationship Type="http://schemas.openxmlformats.org/officeDocument/2006/relationships/hyperlink" Id="rId174" Target="https://doi.org/10.1016/j.jenvman.2009.03.007" TargetMode="External" /><Relationship Type="http://schemas.openxmlformats.org/officeDocument/2006/relationships/hyperlink" Id="rId82"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4" Target="https://doi.org/10.1016/j.marpolbul.2015.10.047" TargetMode="External" /><Relationship Type="http://schemas.openxmlformats.org/officeDocument/2006/relationships/hyperlink" Id="rId178" Target="https://doi.org/10.1016/j.marpolbul.2018.08.049" TargetMode="External" /><Relationship Type="http://schemas.openxmlformats.org/officeDocument/2006/relationships/hyperlink" Id="rId176" Target="https://doi.org/10.1016/j.marpolbul.2020.111247" TargetMode="External" /><Relationship Type="http://schemas.openxmlformats.org/officeDocument/2006/relationships/hyperlink" Id="rId144" Target="https://doi.org/10.1016/j.ocecoaman.2005.07.002" TargetMode="External" /><Relationship Type="http://schemas.openxmlformats.org/officeDocument/2006/relationships/hyperlink" Id="rId153" Target="https://doi.org/10.1016/j.scitotenv.2016.02.070" TargetMode="External" /><Relationship Type="http://schemas.openxmlformats.org/officeDocument/2006/relationships/hyperlink" Id="rId185" Target="https://doi.org/10.1029/2005JC003067" TargetMode="External" /><Relationship Type="http://schemas.openxmlformats.org/officeDocument/2006/relationships/hyperlink" Id="rId99" Target="https://doi.org/10.1029/2007JC004106" TargetMode="External" /><Relationship Type="http://schemas.openxmlformats.org/officeDocument/2006/relationships/hyperlink" Id="rId183" Target="https://doi.org/10.1029/2018JC014887" TargetMode="External" /><Relationship Type="http://schemas.openxmlformats.org/officeDocument/2006/relationships/hyperlink" Id="rId103" Target="https://doi.org/10.1029/2018JC014890" TargetMode="External" /><Relationship Type="http://schemas.openxmlformats.org/officeDocument/2006/relationships/hyperlink" Id="rId171" Target="https://doi.org/10.1080/00139307509435842" TargetMode="External" /><Relationship Type="http://schemas.openxmlformats.org/officeDocument/2006/relationships/hyperlink" Id="rId148" Target="https://doi.org/10.1080/00785236.1995.10422044" TargetMode="External" /><Relationship Type="http://schemas.openxmlformats.org/officeDocument/2006/relationships/hyperlink" Id="rId97" Target="https://doi.org/10.1175/1520-0426(2003)020%3C0159:AUGFVT%3E2.0.CO;2" TargetMode="External" /><Relationship Type="http://schemas.openxmlformats.org/officeDocument/2006/relationships/hyperlink" Id="rId166" Target="https://doi.org/10.1353/sgo.2017.0026" TargetMode="External" /><Relationship Type="http://schemas.openxmlformats.org/officeDocument/2006/relationships/hyperlink" Id="rId86" Target="https://doi.org/10.18785/gcr.2901.02" TargetMode="External" /><Relationship Type="http://schemas.openxmlformats.org/officeDocument/2006/relationships/hyperlink" Id="rId105" Target="https://doi.org/10.1890/1051-0761(2006)016[1405:UOGMAI]2.0.CO;2" TargetMode="External" /><Relationship Type="http://schemas.openxmlformats.org/officeDocument/2006/relationships/hyperlink" Id="rId189" Target="https://doi.org/10.21105/joss.01686" TargetMode="External" /><Relationship Type="http://schemas.openxmlformats.org/officeDocument/2006/relationships/hyperlink" Id="rId133" Target="https://doi.org/10.2113/gselements.7.6.375" TargetMode="External" /><Relationship Type="http://schemas.openxmlformats.org/officeDocument/2006/relationships/hyperlink" Id="rId151" Target="https://doi.org/10.32614/RJ-2018-009" TargetMode="External" /><Relationship Type="http://schemas.openxmlformats.org/officeDocument/2006/relationships/hyperlink" Id="rId120" Target="https://doi.org/10.3389/fmars.2021.605858" TargetMode="External" /><Relationship Type="http://schemas.openxmlformats.org/officeDocument/2006/relationships/hyperlink" Id="rId101" Target="https://doi.org/10.4031/MTSJ.52.3.6" TargetMode="External" /><Relationship Type="http://schemas.openxmlformats.org/officeDocument/2006/relationships/hyperlink" Id="rId84" Target="https://doi.org/10.4319/lo.1976.21.2.0212" TargetMode="External" /><Relationship Type="http://schemas.openxmlformats.org/officeDocument/2006/relationships/hyperlink" Id="rId180" Target="https://doi.org/10.4319/lo.1997.42.5_part_2.1105" TargetMode="External" /><Relationship Type="http://schemas.openxmlformats.org/officeDocument/2006/relationships/hyperlink" Id="rId131" Target="https://doi.org/10.4319/lo.2006.51.1_part_2.0364" TargetMode="External" /><Relationship Type="http://schemas.openxmlformats.org/officeDocument/2006/relationships/hyperlink" Id="rId46" Target="https://drive.google.com/drive/u/0/folders/1oBGvjdve-Gpo4Kn3Ovn8a8-yVoP25eec" TargetMode="External" /><Relationship Type="http://schemas.openxmlformats.org/officeDocument/2006/relationships/hyperlink" Id="rId44" Target="https://floridadep.gov/sites/default/files/21-0323.pdf" TargetMode="External" /><Relationship Type="http://schemas.openxmlformats.org/officeDocument/2006/relationships/hyperlink" Id="rId43" Target="https://geodata.dep.state.fl.us/datasets/6277c3b1eeae4a818f8683fc29e6b35b_0/about" TargetMode="External" /><Relationship Type="http://schemas.openxmlformats.org/officeDocument/2006/relationships/hyperlink" Id="rId49" Target="https://habsos.noaa.gov/" TargetMode="External" /><Relationship Type="http://schemas.openxmlformats.org/officeDocument/2006/relationships/hyperlink" Id="rId64" Target="https://myfwc.com/media/25649/2021preliminaryredtide.pdf" TargetMode="External" /><Relationship Type="http://schemas.openxmlformats.org/officeDocument/2006/relationships/hyperlink" Id="rId65" Target="https://myfwc.com/research/manatee/rescue-mortality-response/ume/" TargetMode="External" /><Relationship Type="http://schemas.openxmlformats.org/officeDocument/2006/relationships/hyperlink" Id="rId61" Target="https://prodenv.dep.state.fl.us/DepPNP/reports/viewIncidentDetails" TargetMode="External" /><Relationship Type="http://schemas.openxmlformats.org/officeDocument/2006/relationships/hyperlink" Id="rId76" Target="https://public.myfwc.com/FWRI/FishKillReport/" TargetMode="External" /><Relationship Type="http://schemas.openxmlformats.org/officeDocument/2006/relationships/hyperlink" Id="rId50" Target="https://public.myfwc.com/fwri/FishKillReport/searchresults.aspx" TargetMode="External" /><Relationship Type="http://schemas.openxmlformats.org/officeDocument/2006/relationships/hyperlink" Id="rId63" Target="https://tbep-tech.github.io/piney-point-analysis/benthic" TargetMode="External" /><Relationship Type="http://schemas.openxmlformats.org/officeDocument/2006/relationships/hyperlink" Id="rId62" Target="https://tbep-tech.github.io/piney-point-analysis/spills" TargetMode="External" /><Relationship Type="http://schemas.openxmlformats.org/officeDocument/2006/relationships/hyperlink" Id="rId47" Target="https://tbep.org/our-work/boards-committees/technical-advisory-committee/#ramp" TargetMode="External" /><Relationship Type="http://schemas.openxmlformats.org/officeDocument/2006/relationships/hyperlink" Id="rId52" Target="https://wateratlas.usf.edu/" TargetMode="External" /><Relationship Type="http://schemas.openxmlformats.org/officeDocument/2006/relationships/hyperlink" Id="rId110" Target="https://www.jstor.org/stable/24322132" TargetMode="External" /><Relationship Type="http://schemas.openxmlformats.org/officeDocument/2006/relationships/hyperlink" Id="rId75" Target="https://www.ncei.noaa.gov/maps/habsos" TargetMode="External" /><Relationship Type="http://schemas.openxmlformats.org/officeDocument/2006/relationships/hyperlink" Id="rId34" Target="mailto:Mark.Rains@floridadep.gov" TargetMode="External" /><Relationship Type="http://schemas.openxmlformats.org/officeDocument/2006/relationships/hyperlink" Id="rId21" Target="mailto:andrew.altieri@essie.ufl.edu" TargetMode="External" /><Relationship Type="http://schemas.openxmlformats.org/officeDocument/2006/relationships/hyperlink" Id="rId30"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8"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26" Target="mailto:edontis@co.pinellas.fl.us" TargetMode="External" /><Relationship Type="http://schemas.openxmlformats.org/officeDocument/2006/relationships/hyperlink" Id="rId32" Target="mailto:elise.morrison@essie.ufl.edu" TargetMode="External" /><Relationship Type="http://schemas.openxmlformats.org/officeDocument/2006/relationships/hyperlink" Id="rId37" Target="mailto:esherwood@tbep.org" TargetMode="External" /><Relationship Type="http://schemas.openxmlformats.org/officeDocument/2006/relationships/hyperlink" Id="rId35"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7" Target="mailto:jgardiner@ncf.edu" TargetMode="External" /><Relationship Type="http://schemas.openxmlformats.org/officeDocument/2006/relationships/hyperlink" Id="rId28" Target="mailto:jlewis@tbep.org" TargetMode="External" /><Relationship Type="http://schemas.openxmlformats.org/officeDocument/2006/relationships/hyperlink" Id="rId41"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1" Target="mailto:miles.medina@ufl.edu" TargetMode="External" /><Relationship Type="http://schemas.openxmlformats.org/officeDocument/2006/relationships/hyperlink" Id="rId40" Target="mailto:nijole.wellendorf@floridadep.org" TargetMode="External" /><Relationship Type="http://schemas.openxmlformats.org/officeDocument/2006/relationships/hyperlink" Id="rId33" Target="mailto:phlips@ufl.edu" TargetMode="External" /><Relationship Type="http://schemas.openxmlformats.org/officeDocument/2006/relationships/hyperlink" Id="rId36" Target="mailto:sscolar@tbep.org" TargetMode="External" /><Relationship Type="http://schemas.openxmlformats.org/officeDocument/2006/relationships/hyperlink" Id="rId39" Target="mailto:weisberg@usf.edu" TargetMode="External" /><Relationship Type="http://schemas.openxmlformats.org/officeDocument/2006/relationships/hyperlink" Id="rId29"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 dense Piney Point wastewater discharge into Tampa Bay, Florida</dc:title>
  <dc:creator>Marcus W. Beck (mbeck@tbep.org), Andrew Altieri (andrew.altieri@essie.ufl.edu), Christine Angelini (christine.angelini@essie.ufl.edu), Maya C. Burke (mburke@tbep.org), Jing Chen (jchen15@usf.edu), Diana W. Chin (diwchin@gmail.com), Emma E. Dontis (edontis@co.pinellas.fl.us), Jayne Gardiner (jgardiner@ncf.edu), Jessica Lewis (jlewis@tbep.org), Yonggang Liu (yliu@usf.edu), Cary Lopez (cary.lopez@myfwc.com), Miles Medina (miles.medina@ufl.edu), Elise Morrison (elise.morrison@essie.ufl.edu), Edward J. Phlips (phlips@ufl.edu), Mark Rains (Mark.Rains@floridadep.gov), Gary E. Raulerson (graulerson@tbep.org), Sheila Scolaro (sscolar@tbep.org), Edward T. Sherwood (esherwood@tbep.org), David Tomasko (dave@sarasotabay.org), Bob Weisberg (weisberg@usf.edu), Nijole Wellendorf (nijole.wellendorf@floridadep.org), Joe Whalen (jwhalen@tbep.org)</dc:creator>
  <cp:keywords/>
  <dcterms:created xsi:type="dcterms:W3CDTF">2021-10-25T13:13:49Z</dcterms:created>
  <dcterms:modified xsi:type="dcterms:W3CDTF">2021-10-25T13:13:49Z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